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  <w:lang w:eastAsia="zh-CN"/>
        </w:rPr>
        <w:t>晋城市第三人民医院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  <w:shd w:val="clear" w:color="auto" w:fill="FFFFFF"/>
          <w:lang w:eastAsia="zh-CN"/>
        </w:rPr>
        <w:t>自主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  <w:shd w:val="clear" w:color="auto" w:fill="FFFFFF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  <w:shd w:val="clear" w:color="auto" w:fill="FFFFFF"/>
          <w:lang w:eastAsia="zh-CN"/>
        </w:rPr>
        <w:t>学科带头人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  <w:shd w:val="clear" w:color="auto" w:fill="FFFFFF"/>
          <w:lang w:val="en-US" w:eastAsia="zh-CN"/>
        </w:rPr>
        <w:t>等相关人员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  <w:shd w:val="clear" w:color="auto" w:fill="FFFFFF"/>
        </w:rPr>
        <w:t>岗位表</w:t>
      </w:r>
    </w:p>
    <w:tbl>
      <w:tblPr>
        <w:tblStyle w:val="2"/>
        <w:tblpPr w:leftFromText="180" w:rightFromText="180" w:vertAnchor="text" w:horzAnchor="page" w:tblpX="570" w:tblpY="504"/>
        <w:tblOverlap w:val="never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674"/>
        <w:gridCol w:w="1916"/>
        <w:gridCol w:w="1735"/>
        <w:gridCol w:w="2034"/>
        <w:gridCol w:w="159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4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7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91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3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0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305" w:type="dxa"/>
            <w:tcBorders>
              <w:left w:val="single" w:color="000000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临床科室     学科带头人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临床医学类专业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（内科、外科、儿科、急诊、麻醉、重症医学、康复医学、医学影像学）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（1973年4月1日以后出生）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2.具有副主任医师及以上职称（基层高级除外）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具有满10年二级甲等及以上医院临床工作经历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临床科室      业务骨干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临床医学类专业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（内科、外科、急诊、麻醉、重症医学、康复医学、医学影像、妇产、儿科）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（1978年4月1日以后出生）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2.具有主治医师及以上职称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具有满10年二级甲等及以上医院临床工作经历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      业务骨干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护理、护理学专业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（1988年4月1日以后出生）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2.具有主管护师及以上职称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具有5年及以上三级医院临床工作经历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计算机科学与技术、软件工程、网络工程专业      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（1988年4月1日以后出生）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2.学士及以上学位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仓储物资  管理员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物流管理专业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（1988年4月1日以后出生）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2.学士及以上学位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1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2024-05-17T02:35:24Z</dcterms:created>
  <dc:creator>Administrator</dc:creator>
  <cp:lastModifiedBy>EclipS</cp:lastModifiedBy>
  <dcterms:modified xsi:type="dcterms:W3CDTF">2024-05-17T02:36:32Z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