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56CED">
      <w:pPr>
        <w:tabs>
          <w:tab w:val="center" w:pos="4031"/>
          <w:tab w:val="right" w:pos="7937"/>
        </w:tabs>
        <w:adjustRightInd w:val="0"/>
        <w:snapToGrid w:val="0"/>
        <w:jc w:val="center"/>
        <w:rPr>
          <w:rFonts w:ascii="华文中宋" w:hAnsi="华文中宋" w:eastAsia="华文中宋" w:cs="华文中宋"/>
          <w:b/>
          <w:bCs/>
          <w:color w:val="FF0000"/>
          <w:spacing w:val="-6"/>
          <w:sz w:val="84"/>
          <w:szCs w:val="84"/>
        </w:rPr>
      </w:pPr>
    </w:p>
    <w:p w14:paraId="7E3A5D7F">
      <w:pPr>
        <w:adjustRightInd w:val="0"/>
        <w:snapToGrid w:val="0"/>
        <w:ind w:firstLine="1017" w:firstLineChars="200"/>
        <w:rPr>
          <w:rFonts w:ascii="华文中宋" w:hAnsi="华文中宋" w:eastAsia="华文中宋" w:cs="华文中宋"/>
          <w:b/>
          <w:bCs/>
          <w:spacing w:val="-6"/>
          <w:sz w:val="52"/>
          <w:szCs w:val="52"/>
        </w:rPr>
      </w:pPr>
    </w:p>
    <w:p w14:paraId="0775F6E7">
      <w:pPr>
        <w:pStyle w:val="7"/>
        <w:autoSpaceDE w:val="0"/>
        <w:autoSpaceDN w:val="0"/>
        <w:spacing w:before="312" w:beforeLines="100" w:after="312" w:afterLines="100"/>
        <w:ind w:left="0"/>
        <w:jc w:val="center"/>
        <w:rPr>
          <w:rFonts w:ascii="宋体" w:hAnsi="宋体" w:eastAsia="宋体" w:cs="宋体"/>
          <w:b/>
          <w:sz w:val="44"/>
          <w:szCs w:val="44"/>
          <w:lang w:val="en-US"/>
        </w:rPr>
      </w:pPr>
      <w:r>
        <w:rPr>
          <w:rFonts w:hint="eastAsia" w:ascii="宋体" w:hAnsi="宋体" w:eastAsia="宋体" w:cs="宋体"/>
          <w:b/>
          <w:sz w:val="44"/>
          <w:szCs w:val="44"/>
          <w:lang w:val="en-US"/>
        </w:rPr>
        <w:t>第五届晋城职业技能大赛暨</w:t>
      </w:r>
    </w:p>
    <w:p w14:paraId="6E18FA47">
      <w:pPr>
        <w:pStyle w:val="7"/>
        <w:autoSpaceDE w:val="0"/>
        <w:autoSpaceDN w:val="0"/>
        <w:spacing w:before="312" w:beforeLines="100" w:after="312" w:afterLines="100"/>
        <w:ind w:left="0"/>
        <w:jc w:val="center"/>
        <w:rPr>
          <w:rFonts w:ascii="宋体" w:hAnsi="宋体" w:eastAsia="宋体" w:cs="宋体"/>
          <w:b/>
          <w:bCs/>
          <w:color w:val="FF0000"/>
          <w:spacing w:val="-6"/>
          <w:sz w:val="44"/>
          <w:szCs w:val="44"/>
        </w:rPr>
      </w:pPr>
      <w:r>
        <w:rPr>
          <w:rFonts w:hint="eastAsia" w:ascii="宋体" w:hAnsi="宋体" w:eastAsia="宋体" w:cs="宋体"/>
          <w:b/>
          <w:sz w:val="44"/>
          <w:szCs w:val="44"/>
          <w:lang w:val="en-US"/>
        </w:rPr>
        <w:t>第七届职工职业技能大赛</w:t>
      </w:r>
    </w:p>
    <w:p w14:paraId="1F61FE53">
      <w:pPr>
        <w:adjustRightInd w:val="0"/>
        <w:snapToGrid w:val="0"/>
        <w:jc w:val="center"/>
        <w:rPr>
          <w:rFonts w:ascii="宋体" w:hAnsi="宋体" w:cs="宋体"/>
          <w:b/>
          <w:bCs/>
          <w:spacing w:val="-6"/>
          <w:sz w:val="44"/>
          <w:szCs w:val="44"/>
        </w:rPr>
      </w:pPr>
      <w:r>
        <w:rPr>
          <w:rFonts w:hint="eastAsia" w:ascii="宋体" w:hAnsi="宋体" w:cs="宋体"/>
          <w:b/>
          <w:bCs/>
          <w:spacing w:val="-6"/>
          <w:sz w:val="44"/>
          <w:szCs w:val="44"/>
        </w:rPr>
        <w:t>新能源汽车智能化技术（双人赛项）项目</w:t>
      </w:r>
    </w:p>
    <w:p w14:paraId="398B382E">
      <w:pPr>
        <w:adjustRightInd w:val="0"/>
        <w:snapToGrid w:val="0"/>
        <w:jc w:val="center"/>
        <w:rPr>
          <w:rFonts w:ascii="宋体" w:hAnsi="宋体" w:cs="宋体"/>
          <w:b/>
          <w:bCs/>
          <w:spacing w:val="-6"/>
          <w:sz w:val="44"/>
          <w:szCs w:val="44"/>
        </w:rPr>
      </w:pPr>
    </w:p>
    <w:p w14:paraId="5FAE76C6">
      <w:pPr>
        <w:pStyle w:val="2"/>
        <w:rPr>
          <w:rFonts w:ascii="宋体" w:hAnsi="宋体" w:cs="宋体"/>
          <w:b/>
          <w:bCs/>
          <w:spacing w:val="-6"/>
          <w:sz w:val="44"/>
          <w:szCs w:val="44"/>
        </w:rPr>
      </w:pPr>
    </w:p>
    <w:p w14:paraId="6FCC2205">
      <w:pPr>
        <w:pStyle w:val="2"/>
        <w:rPr>
          <w:rFonts w:ascii="宋体" w:hAnsi="宋体" w:cs="宋体"/>
          <w:b/>
          <w:bCs/>
          <w:spacing w:val="-6"/>
          <w:sz w:val="44"/>
          <w:szCs w:val="44"/>
        </w:rPr>
      </w:pPr>
    </w:p>
    <w:p w14:paraId="52AE1135">
      <w:pPr>
        <w:pStyle w:val="2"/>
        <w:rPr>
          <w:rFonts w:ascii="宋体" w:hAnsi="宋体" w:cs="宋体"/>
          <w:b/>
          <w:bCs/>
          <w:spacing w:val="-6"/>
          <w:sz w:val="44"/>
          <w:szCs w:val="44"/>
        </w:rPr>
      </w:pPr>
    </w:p>
    <w:p w14:paraId="018C6B5C">
      <w:pPr>
        <w:adjustRightInd w:val="0"/>
        <w:snapToGrid w:val="0"/>
        <w:jc w:val="center"/>
        <w:rPr>
          <w:rFonts w:ascii="宋体" w:hAnsi="宋体" w:cs="宋体"/>
          <w:b/>
          <w:bCs/>
          <w:spacing w:val="-6"/>
          <w:sz w:val="44"/>
          <w:szCs w:val="44"/>
        </w:rPr>
      </w:pPr>
      <w:r>
        <w:rPr>
          <w:rFonts w:hint="eastAsia" w:ascii="宋体" w:hAnsi="宋体" w:cs="宋体"/>
          <w:b/>
          <w:bCs/>
          <w:spacing w:val="-6"/>
          <w:sz w:val="44"/>
          <w:szCs w:val="44"/>
        </w:rPr>
        <w:t>技</w:t>
      </w:r>
    </w:p>
    <w:p w14:paraId="49B58BB6">
      <w:pPr>
        <w:adjustRightInd w:val="0"/>
        <w:snapToGrid w:val="0"/>
        <w:jc w:val="center"/>
        <w:rPr>
          <w:rFonts w:ascii="宋体" w:hAnsi="宋体" w:cs="宋体"/>
          <w:b/>
          <w:bCs/>
          <w:spacing w:val="-6"/>
          <w:sz w:val="44"/>
          <w:szCs w:val="44"/>
        </w:rPr>
      </w:pPr>
      <w:r>
        <w:rPr>
          <w:rFonts w:hint="eastAsia" w:ascii="宋体" w:hAnsi="宋体" w:cs="宋体"/>
          <w:b/>
          <w:bCs/>
          <w:spacing w:val="-6"/>
          <w:sz w:val="44"/>
          <w:szCs w:val="44"/>
        </w:rPr>
        <w:t>术</w:t>
      </w:r>
    </w:p>
    <w:p w14:paraId="6688498D">
      <w:pPr>
        <w:adjustRightInd w:val="0"/>
        <w:snapToGrid w:val="0"/>
        <w:jc w:val="center"/>
        <w:rPr>
          <w:rFonts w:ascii="宋体" w:hAnsi="宋体" w:cs="宋体"/>
          <w:b/>
          <w:bCs/>
          <w:spacing w:val="-6"/>
          <w:sz w:val="44"/>
          <w:szCs w:val="44"/>
        </w:rPr>
      </w:pPr>
      <w:r>
        <w:rPr>
          <w:rFonts w:hint="eastAsia" w:ascii="宋体" w:hAnsi="宋体" w:cs="宋体"/>
          <w:b/>
          <w:bCs/>
          <w:spacing w:val="-6"/>
          <w:sz w:val="44"/>
          <w:szCs w:val="44"/>
        </w:rPr>
        <w:t>文</w:t>
      </w:r>
    </w:p>
    <w:p w14:paraId="5BAC5178">
      <w:pPr>
        <w:adjustRightInd w:val="0"/>
        <w:snapToGrid w:val="0"/>
        <w:jc w:val="center"/>
        <w:rPr>
          <w:rFonts w:ascii="宋体" w:hAnsi="宋体" w:cs="宋体"/>
          <w:b/>
          <w:bCs/>
          <w:spacing w:val="-6"/>
          <w:sz w:val="44"/>
          <w:szCs w:val="44"/>
        </w:rPr>
      </w:pPr>
      <w:r>
        <w:rPr>
          <w:rFonts w:hint="eastAsia" w:ascii="宋体" w:hAnsi="宋体" w:cs="宋体"/>
          <w:b/>
          <w:bCs/>
          <w:spacing w:val="-6"/>
          <w:sz w:val="44"/>
          <w:szCs w:val="44"/>
        </w:rPr>
        <w:t>件</w:t>
      </w:r>
    </w:p>
    <w:p w14:paraId="6360476B">
      <w:pPr>
        <w:adjustRightInd w:val="0"/>
        <w:snapToGrid w:val="0"/>
        <w:jc w:val="center"/>
        <w:rPr>
          <w:rFonts w:ascii="华文中宋" w:hAnsi="华文中宋" w:eastAsia="华文中宋" w:cs="华文中宋"/>
          <w:b/>
          <w:bCs/>
          <w:spacing w:val="-6"/>
          <w:sz w:val="52"/>
          <w:szCs w:val="52"/>
        </w:rPr>
      </w:pPr>
    </w:p>
    <w:p w14:paraId="2A601AA0">
      <w:pPr>
        <w:pStyle w:val="17"/>
        <w:adjustRightInd w:val="0"/>
        <w:snapToGrid w:val="0"/>
        <w:ind w:firstLine="0" w:firstLineChars="0"/>
        <w:rPr>
          <w:b/>
          <w:bCs/>
          <w:spacing w:val="-6"/>
          <w:sz w:val="44"/>
          <w:szCs w:val="44"/>
        </w:rPr>
      </w:pPr>
    </w:p>
    <w:p w14:paraId="35DCE48A">
      <w:pPr>
        <w:adjustRightInd w:val="0"/>
        <w:snapToGrid w:val="0"/>
        <w:jc w:val="center"/>
        <w:rPr>
          <w:rFonts w:ascii="宋体"/>
          <w:b/>
          <w:bCs/>
          <w:spacing w:val="-6"/>
          <w:sz w:val="32"/>
          <w:szCs w:val="32"/>
          <w:u w:val="single"/>
        </w:rPr>
      </w:pPr>
    </w:p>
    <w:p w14:paraId="5069F5B2">
      <w:pPr>
        <w:adjustRightInd w:val="0"/>
        <w:snapToGrid w:val="0"/>
        <w:jc w:val="center"/>
        <w:rPr>
          <w:rFonts w:ascii="宋体"/>
          <w:b/>
          <w:bCs/>
          <w:color w:val="FF0000"/>
          <w:spacing w:val="-6"/>
          <w:sz w:val="36"/>
          <w:szCs w:val="36"/>
        </w:rPr>
      </w:pPr>
    </w:p>
    <w:p w14:paraId="1A50F3A4">
      <w:pPr>
        <w:adjustRightInd w:val="0"/>
        <w:snapToGrid w:val="0"/>
        <w:jc w:val="center"/>
        <w:rPr>
          <w:rFonts w:ascii="宋体" w:hAnsi="宋体"/>
          <w:spacing w:val="-6"/>
          <w:sz w:val="36"/>
          <w:szCs w:val="36"/>
        </w:rPr>
      </w:pPr>
    </w:p>
    <w:p w14:paraId="4D835694">
      <w:pPr>
        <w:pStyle w:val="10"/>
        <w:adjustRightInd w:val="0"/>
        <w:snapToGrid w:val="0"/>
        <w:spacing w:after="0" w:line="240" w:lineRule="auto"/>
      </w:pPr>
    </w:p>
    <w:p w14:paraId="1F6D20E6">
      <w:pPr>
        <w:adjustRightInd w:val="0"/>
        <w:snapToGrid w:val="0"/>
        <w:jc w:val="center"/>
        <w:rPr>
          <w:rFonts w:ascii="宋体" w:hAnsi="宋体" w:cs="宋体"/>
          <w:b/>
          <w:bCs/>
          <w:spacing w:val="-6"/>
          <w:sz w:val="44"/>
          <w:szCs w:val="44"/>
        </w:rPr>
      </w:pPr>
      <w:r>
        <w:rPr>
          <w:rFonts w:hint="eastAsia" w:ascii="宋体" w:hAnsi="宋体" w:cs="宋体"/>
          <w:b/>
          <w:bCs/>
          <w:spacing w:val="-6"/>
          <w:sz w:val="44"/>
          <w:szCs w:val="44"/>
        </w:rPr>
        <w:t>晋城职业技能大赛组委会</w:t>
      </w:r>
    </w:p>
    <w:p w14:paraId="3F795D71">
      <w:pPr>
        <w:adjustRightInd w:val="0"/>
        <w:snapToGrid w:val="0"/>
        <w:jc w:val="center"/>
        <w:rPr>
          <w:rFonts w:ascii="宋体" w:hAnsi="宋体" w:cs="宋体"/>
          <w:b/>
          <w:bCs/>
          <w:spacing w:val="-6"/>
          <w:sz w:val="44"/>
          <w:szCs w:val="44"/>
        </w:rPr>
        <w:sectPr>
          <w:headerReference r:id="rId5" w:type="first"/>
          <w:footerReference r:id="rId8" w:type="first"/>
          <w:headerReference r:id="rId3" w:type="default"/>
          <w:footerReference r:id="rId6" w:type="default"/>
          <w:headerReference r:id="rId4" w:type="even"/>
          <w:footerReference r:id="rId7" w:type="even"/>
          <w:pgSz w:w="11906" w:h="16838"/>
          <w:pgMar w:top="1440" w:right="1417" w:bottom="1440" w:left="1417" w:header="851" w:footer="992" w:gutter="0"/>
          <w:pgNumType w:start="1"/>
          <w:cols w:space="425" w:num="1"/>
          <w:titlePg/>
          <w:docGrid w:type="lines" w:linePitch="312" w:charSpace="0"/>
        </w:sectPr>
      </w:pPr>
      <w:r>
        <w:rPr>
          <w:rFonts w:hint="eastAsia" w:ascii="宋体" w:hAnsi="宋体" w:cs="宋体"/>
          <w:b/>
          <w:bCs/>
          <w:spacing w:val="-6"/>
          <w:sz w:val="44"/>
          <w:szCs w:val="44"/>
        </w:rPr>
        <w:t>2025年7月</w:t>
      </w:r>
    </w:p>
    <w:p w14:paraId="1D8B7F27">
      <w:pPr>
        <w:pStyle w:val="14"/>
        <w:tabs>
          <w:tab w:val="right" w:leader="dot" w:pos="8306"/>
        </w:tabs>
        <w:adjustRightInd w:val="0"/>
        <w:snapToGrid w:val="0"/>
        <w:ind w:firstLine="619" w:firstLineChars="200"/>
        <w:jc w:val="center"/>
        <w:rPr>
          <w:rFonts w:hint="eastAsia"/>
          <w:bCs/>
          <w:spacing w:val="-6"/>
          <w:sz w:val="32"/>
          <w:szCs w:val="40"/>
        </w:rPr>
      </w:pPr>
      <w:r>
        <w:rPr>
          <w:rFonts w:hint="eastAsia"/>
          <w:bCs/>
          <w:spacing w:val="-6"/>
          <w:sz w:val="32"/>
          <w:szCs w:val="40"/>
        </w:rPr>
        <w:t>目</w:t>
      </w:r>
      <w:r>
        <w:rPr>
          <w:bCs/>
          <w:spacing w:val="-6"/>
          <w:sz w:val="32"/>
          <w:szCs w:val="40"/>
        </w:rPr>
        <w:t xml:space="preserve"> </w:t>
      </w:r>
      <w:r>
        <w:rPr>
          <w:rFonts w:hint="eastAsia"/>
          <w:bCs/>
          <w:spacing w:val="-6"/>
          <w:sz w:val="32"/>
          <w:szCs w:val="40"/>
        </w:rPr>
        <w:t>录</w:t>
      </w:r>
    </w:p>
    <w:p w14:paraId="1EA95A93">
      <w:bookmarkStart w:id="150" w:name="_GoBack"/>
      <w:bookmarkEnd w:id="150"/>
    </w:p>
    <w:p w14:paraId="09EDBA07">
      <w:pPr>
        <w:pStyle w:val="14"/>
        <w:tabs>
          <w:tab w:val="right" w:leader="dot" w:pos="9072"/>
        </w:tabs>
      </w:pPr>
      <w:r>
        <w:rPr>
          <w:b w:val="0"/>
          <w:bCs/>
          <w:spacing w:val="-6"/>
          <w:szCs w:val="52"/>
        </w:rPr>
        <w:fldChar w:fldCharType="begin"/>
      </w:r>
      <w:r>
        <w:rPr>
          <w:b w:val="0"/>
          <w:bCs/>
          <w:spacing w:val="-6"/>
          <w:szCs w:val="52"/>
        </w:rPr>
        <w:instrText xml:space="preserve"> TOC \o "1-2" \h \z \u </w:instrText>
      </w:r>
      <w:r>
        <w:rPr>
          <w:b w:val="0"/>
          <w:bCs/>
          <w:spacing w:val="-6"/>
          <w:szCs w:val="52"/>
        </w:rPr>
        <w:fldChar w:fldCharType="separate"/>
      </w:r>
      <w:r>
        <w:rPr>
          <w:bCs/>
          <w:spacing w:val="-6"/>
          <w:szCs w:val="52"/>
        </w:rPr>
        <w:fldChar w:fldCharType="begin"/>
      </w:r>
      <w:r>
        <w:rPr>
          <w:bCs/>
          <w:spacing w:val="-6"/>
          <w:szCs w:val="52"/>
        </w:rPr>
        <w:instrText xml:space="preserve"> HYPERLINK \l _Toc240 </w:instrText>
      </w:r>
      <w:r>
        <w:rPr>
          <w:bCs/>
          <w:spacing w:val="-6"/>
          <w:szCs w:val="52"/>
        </w:rPr>
        <w:fldChar w:fldCharType="separate"/>
      </w:r>
      <w:r>
        <w:rPr>
          <w:rFonts w:hint="eastAsia"/>
          <w:bCs/>
          <w:spacing w:val="-6"/>
          <w:szCs w:val="32"/>
        </w:rPr>
        <w:t>一、技术描述</w:t>
      </w:r>
      <w:r>
        <w:tab/>
      </w:r>
      <w:r>
        <w:fldChar w:fldCharType="begin"/>
      </w:r>
      <w:r>
        <w:instrText xml:space="preserve"> PAGEREF _Toc240 \h </w:instrText>
      </w:r>
      <w:r>
        <w:fldChar w:fldCharType="separate"/>
      </w:r>
      <w:r>
        <w:t>1</w:t>
      </w:r>
      <w:r>
        <w:fldChar w:fldCharType="end"/>
      </w:r>
      <w:r>
        <w:rPr>
          <w:bCs/>
          <w:spacing w:val="-6"/>
          <w:szCs w:val="52"/>
        </w:rPr>
        <w:fldChar w:fldCharType="end"/>
      </w:r>
    </w:p>
    <w:p w14:paraId="0F1CBC44">
      <w:pPr>
        <w:pStyle w:val="15"/>
        <w:tabs>
          <w:tab w:val="right" w:leader="dot" w:pos="9072"/>
        </w:tabs>
      </w:pPr>
      <w:r>
        <w:rPr>
          <w:bCs/>
          <w:spacing w:val="-6"/>
          <w:szCs w:val="52"/>
        </w:rPr>
        <w:fldChar w:fldCharType="begin"/>
      </w:r>
      <w:r>
        <w:rPr>
          <w:bCs/>
          <w:spacing w:val="-6"/>
          <w:szCs w:val="52"/>
        </w:rPr>
        <w:instrText xml:space="preserve"> HYPERLINK \l _Toc18823 </w:instrText>
      </w:r>
      <w:r>
        <w:rPr>
          <w:bCs/>
          <w:spacing w:val="-6"/>
          <w:szCs w:val="52"/>
        </w:rPr>
        <w:fldChar w:fldCharType="separate"/>
      </w:r>
      <w:r>
        <w:rPr>
          <w:rFonts w:hint="eastAsia"/>
          <w:bCs/>
          <w:spacing w:val="-6"/>
          <w:szCs w:val="28"/>
        </w:rPr>
        <w:t>（一）项目概要</w:t>
      </w:r>
      <w:r>
        <w:tab/>
      </w:r>
      <w:r>
        <w:fldChar w:fldCharType="begin"/>
      </w:r>
      <w:r>
        <w:instrText xml:space="preserve"> PAGEREF _Toc18823 \h </w:instrText>
      </w:r>
      <w:r>
        <w:fldChar w:fldCharType="separate"/>
      </w:r>
      <w:r>
        <w:t>1</w:t>
      </w:r>
      <w:r>
        <w:fldChar w:fldCharType="end"/>
      </w:r>
      <w:r>
        <w:rPr>
          <w:bCs/>
          <w:spacing w:val="-6"/>
          <w:szCs w:val="52"/>
        </w:rPr>
        <w:fldChar w:fldCharType="end"/>
      </w:r>
    </w:p>
    <w:p w14:paraId="33E3DFBB">
      <w:pPr>
        <w:pStyle w:val="15"/>
        <w:tabs>
          <w:tab w:val="right" w:leader="dot" w:pos="9072"/>
        </w:tabs>
      </w:pPr>
      <w:r>
        <w:rPr>
          <w:bCs/>
          <w:spacing w:val="-6"/>
          <w:szCs w:val="52"/>
        </w:rPr>
        <w:fldChar w:fldCharType="begin"/>
      </w:r>
      <w:r>
        <w:rPr>
          <w:bCs/>
          <w:spacing w:val="-6"/>
          <w:szCs w:val="52"/>
        </w:rPr>
        <w:instrText xml:space="preserve"> HYPERLINK \l _Toc12295 </w:instrText>
      </w:r>
      <w:r>
        <w:rPr>
          <w:bCs/>
          <w:spacing w:val="-6"/>
          <w:szCs w:val="52"/>
        </w:rPr>
        <w:fldChar w:fldCharType="separate"/>
      </w:r>
      <w:r>
        <w:rPr>
          <w:rFonts w:hint="eastAsia"/>
          <w:bCs/>
          <w:spacing w:val="-6"/>
          <w:szCs w:val="28"/>
        </w:rPr>
        <w:t>（二）基本知识与能力要求</w:t>
      </w:r>
      <w:r>
        <w:tab/>
      </w:r>
      <w:r>
        <w:fldChar w:fldCharType="begin"/>
      </w:r>
      <w:r>
        <w:instrText xml:space="preserve"> PAGEREF _Toc12295 \h </w:instrText>
      </w:r>
      <w:r>
        <w:fldChar w:fldCharType="separate"/>
      </w:r>
      <w:r>
        <w:t>1</w:t>
      </w:r>
      <w:r>
        <w:fldChar w:fldCharType="end"/>
      </w:r>
      <w:r>
        <w:rPr>
          <w:bCs/>
          <w:spacing w:val="-6"/>
          <w:szCs w:val="52"/>
        </w:rPr>
        <w:fldChar w:fldCharType="end"/>
      </w:r>
    </w:p>
    <w:p w14:paraId="7B84FDA9">
      <w:pPr>
        <w:pStyle w:val="14"/>
        <w:tabs>
          <w:tab w:val="right" w:leader="dot" w:pos="9072"/>
        </w:tabs>
      </w:pPr>
      <w:r>
        <w:rPr>
          <w:bCs/>
          <w:spacing w:val="-6"/>
          <w:szCs w:val="52"/>
        </w:rPr>
        <w:fldChar w:fldCharType="begin"/>
      </w:r>
      <w:r>
        <w:rPr>
          <w:bCs/>
          <w:spacing w:val="-6"/>
          <w:szCs w:val="52"/>
        </w:rPr>
        <w:instrText xml:space="preserve"> HYPERLINK \l _Toc23405 </w:instrText>
      </w:r>
      <w:r>
        <w:rPr>
          <w:bCs/>
          <w:spacing w:val="-6"/>
          <w:szCs w:val="52"/>
        </w:rPr>
        <w:fldChar w:fldCharType="separate"/>
      </w:r>
      <w:r>
        <w:rPr>
          <w:rFonts w:hint="eastAsia"/>
          <w:bCs/>
          <w:spacing w:val="-6"/>
          <w:szCs w:val="32"/>
        </w:rPr>
        <w:t>二、试题与评判标准</w:t>
      </w:r>
      <w:r>
        <w:tab/>
      </w:r>
      <w:r>
        <w:fldChar w:fldCharType="begin"/>
      </w:r>
      <w:r>
        <w:instrText xml:space="preserve"> PAGEREF _Toc23405 \h </w:instrText>
      </w:r>
      <w:r>
        <w:fldChar w:fldCharType="separate"/>
      </w:r>
      <w:r>
        <w:t>2</w:t>
      </w:r>
      <w:r>
        <w:fldChar w:fldCharType="end"/>
      </w:r>
      <w:r>
        <w:rPr>
          <w:bCs/>
          <w:spacing w:val="-6"/>
          <w:szCs w:val="52"/>
        </w:rPr>
        <w:fldChar w:fldCharType="end"/>
      </w:r>
    </w:p>
    <w:p w14:paraId="2394643E">
      <w:pPr>
        <w:pStyle w:val="15"/>
        <w:tabs>
          <w:tab w:val="right" w:leader="dot" w:pos="9072"/>
        </w:tabs>
      </w:pPr>
      <w:r>
        <w:rPr>
          <w:bCs/>
          <w:spacing w:val="-6"/>
          <w:szCs w:val="52"/>
        </w:rPr>
        <w:fldChar w:fldCharType="begin"/>
      </w:r>
      <w:r>
        <w:rPr>
          <w:bCs/>
          <w:spacing w:val="-6"/>
          <w:szCs w:val="52"/>
        </w:rPr>
        <w:instrText xml:space="preserve"> HYPERLINK \l _Toc7551 </w:instrText>
      </w:r>
      <w:r>
        <w:rPr>
          <w:bCs/>
          <w:spacing w:val="-6"/>
          <w:szCs w:val="52"/>
        </w:rPr>
        <w:fldChar w:fldCharType="separate"/>
      </w:r>
      <w:r>
        <w:rPr>
          <w:rFonts w:hint="eastAsia"/>
          <w:bCs/>
          <w:spacing w:val="-6"/>
          <w:szCs w:val="28"/>
        </w:rPr>
        <w:t>（一）竞赛试题</w:t>
      </w:r>
      <w:r>
        <w:tab/>
      </w:r>
      <w:r>
        <w:fldChar w:fldCharType="begin"/>
      </w:r>
      <w:r>
        <w:instrText xml:space="preserve"> PAGEREF _Toc7551 \h </w:instrText>
      </w:r>
      <w:r>
        <w:fldChar w:fldCharType="separate"/>
      </w:r>
      <w:r>
        <w:t>3</w:t>
      </w:r>
      <w:r>
        <w:fldChar w:fldCharType="end"/>
      </w:r>
      <w:r>
        <w:rPr>
          <w:bCs/>
          <w:spacing w:val="-6"/>
          <w:szCs w:val="52"/>
        </w:rPr>
        <w:fldChar w:fldCharType="end"/>
      </w:r>
    </w:p>
    <w:p w14:paraId="16A5B54D">
      <w:pPr>
        <w:pStyle w:val="15"/>
        <w:tabs>
          <w:tab w:val="right" w:leader="dot" w:pos="9072"/>
        </w:tabs>
      </w:pPr>
      <w:r>
        <w:rPr>
          <w:bCs/>
          <w:spacing w:val="-6"/>
          <w:szCs w:val="52"/>
        </w:rPr>
        <w:fldChar w:fldCharType="begin"/>
      </w:r>
      <w:r>
        <w:rPr>
          <w:bCs/>
          <w:spacing w:val="-6"/>
          <w:szCs w:val="52"/>
        </w:rPr>
        <w:instrText xml:space="preserve"> HYPERLINK \l _Toc10151 </w:instrText>
      </w:r>
      <w:r>
        <w:rPr>
          <w:bCs/>
          <w:spacing w:val="-6"/>
          <w:szCs w:val="52"/>
        </w:rPr>
        <w:fldChar w:fldCharType="separate"/>
      </w:r>
      <w:r>
        <w:rPr>
          <w:rFonts w:hint="eastAsia"/>
          <w:bCs/>
          <w:spacing w:val="-6"/>
          <w:szCs w:val="28"/>
        </w:rPr>
        <w:t>（二）比赛时间及试题具体内容</w:t>
      </w:r>
      <w:r>
        <w:tab/>
      </w:r>
      <w:r>
        <w:fldChar w:fldCharType="begin"/>
      </w:r>
      <w:r>
        <w:instrText xml:space="preserve"> PAGEREF _Toc10151 \h </w:instrText>
      </w:r>
      <w:r>
        <w:fldChar w:fldCharType="separate"/>
      </w:r>
      <w:r>
        <w:t>3</w:t>
      </w:r>
      <w:r>
        <w:fldChar w:fldCharType="end"/>
      </w:r>
      <w:r>
        <w:rPr>
          <w:bCs/>
          <w:spacing w:val="-6"/>
          <w:szCs w:val="52"/>
        </w:rPr>
        <w:fldChar w:fldCharType="end"/>
      </w:r>
    </w:p>
    <w:p w14:paraId="051830EB">
      <w:pPr>
        <w:pStyle w:val="15"/>
        <w:tabs>
          <w:tab w:val="right" w:leader="dot" w:pos="9072"/>
        </w:tabs>
      </w:pPr>
      <w:r>
        <w:rPr>
          <w:bCs/>
          <w:spacing w:val="-6"/>
          <w:szCs w:val="52"/>
        </w:rPr>
        <w:fldChar w:fldCharType="begin"/>
      </w:r>
      <w:r>
        <w:rPr>
          <w:bCs/>
          <w:spacing w:val="-6"/>
          <w:szCs w:val="52"/>
        </w:rPr>
        <w:instrText xml:space="preserve"> HYPERLINK \l _Toc129 </w:instrText>
      </w:r>
      <w:r>
        <w:rPr>
          <w:bCs/>
          <w:spacing w:val="-6"/>
          <w:szCs w:val="52"/>
        </w:rPr>
        <w:fldChar w:fldCharType="separate"/>
      </w:r>
      <w:r>
        <w:rPr>
          <w:rFonts w:hint="eastAsia"/>
          <w:bCs/>
          <w:spacing w:val="-6"/>
          <w:szCs w:val="28"/>
        </w:rPr>
        <w:t>（三）竞赛评判标准</w:t>
      </w:r>
      <w:r>
        <w:tab/>
      </w:r>
      <w:r>
        <w:fldChar w:fldCharType="begin"/>
      </w:r>
      <w:r>
        <w:instrText xml:space="preserve"> PAGEREF _Toc129 \h </w:instrText>
      </w:r>
      <w:r>
        <w:fldChar w:fldCharType="separate"/>
      </w:r>
      <w:r>
        <w:t>4</w:t>
      </w:r>
      <w:r>
        <w:fldChar w:fldCharType="end"/>
      </w:r>
      <w:r>
        <w:rPr>
          <w:bCs/>
          <w:spacing w:val="-6"/>
          <w:szCs w:val="52"/>
        </w:rPr>
        <w:fldChar w:fldCharType="end"/>
      </w:r>
    </w:p>
    <w:p w14:paraId="0AFD9A9D">
      <w:pPr>
        <w:pStyle w:val="15"/>
        <w:tabs>
          <w:tab w:val="right" w:leader="dot" w:pos="9072"/>
        </w:tabs>
      </w:pPr>
      <w:r>
        <w:rPr>
          <w:bCs/>
          <w:spacing w:val="-6"/>
          <w:szCs w:val="52"/>
        </w:rPr>
        <w:fldChar w:fldCharType="begin"/>
      </w:r>
      <w:r>
        <w:rPr>
          <w:bCs/>
          <w:spacing w:val="-6"/>
          <w:szCs w:val="52"/>
        </w:rPr>
        <w:instrText xml:space="preserve"> HYPERLINK \l _Toc5805 </w:instrText>
      </w:r>
      <w:r>
        <w:rPr>
          <w:bCs/>
          <w:spacing w:val="-6"/>
          <w:szCs w:val="52"/>
        </w:rPr>
        <w:fldChar w:fldCharType="separate"/>
      </w:r>
      <w:r>
        <w:rPr>
          <w:rFonts w:hint="eastAsia" w:ascii="宋体" w:hAnsi="宋体" w:cs="宋体"/>
          <w:spacing w:val="-6"/>
          <w:szCs w:val="21"/>
        </w:rPr>
        <w:t>1.分数权重</w:t>
      </w:r>
      <w:r>
        <w:tab/>
      </w:r>
      <w:r>
        <w:fldChar w:fldCharType="begin"/>
      </w:r>
      <w:r>
        <w:instrText xml:space="preserve"> PAGEREF _Toc5805 \h </w:instrText>
      </w:r>
      <w:r>
        <w:fldChar w:fldCharType="separate"/>
      </w:r>
      <w:r>
        <w:t>4</w:t>
      </w:r>
      <w:r>
        <w:fldChar w:fldCharType="end"/>
      </w:r>
      <w:r>
        <w:rPr>
          <w:bCs/>
          <w:spacing w:val="-6"/>
          <w:szCs w:val="52"/>
        </w:rPr>
        <w:fldChar w:fldCharType="end"/>
      </w:r>
    </w:p>
    <w:p w14:paraId="70D4337D">
      <w:pPr>
        <w:pStyle w:val="15"/>
        <w:tabs>
          <w:tab w:val="right" w:leader="dot" w:pos="9072"/>
        </w:tabs>
      </w:pPr>
      <w:r>
        <w:rPr>
          <w:bCs/>
          <w:spacing w:val="-6"/>
          <w:szCs w:val="52"/>
        </w:rPr>
        <w:fldChar w:fldCharType="begin"/>
      </w:r>
      <w:r>
        <w:rPr>
          <w:bCs/>
          <w:spacing w:val="-6"/>
          <w:szCs w:val="52"/>
        </w:rPr>
        <w:instrText xml:space="preserve"> HYPERLINK \l _Toc7659 </w:instrText>
      </w:r>
      <w:r>
        <w:rPr>
          <w:bCs/>
          <w:spacing w:val="-6"/>
          <w:szCs w:val="52"/>
        </w:rPr>
        <w:fldChar w:fldCharType="separate"/>
      </w:r>
      <w:r>
        <w:rPr>
          <w:rFonts w:ascii="宋体" w:hAnsi="宋体" w:cs="宋体"/>
          <w:spacing w:val="-6"/>
          <w:szCs w:val="21"/>
        </w:rPr>
        <w:t>2.评判流程</w:t>
      </w:r>
      <w:r>
        <w:tab/>
      </w:r>
      <w:r>
        <w:fldChar w:fldCharType="begin"/>
      </w:r>
      <w:r>
        <w:instrText xml:space="preserve"> PAGEREF _Toc7659 \h </w:instrText>
      </w:r>
      <w:r>
        <w:fldChar w:fldCharType="separate"/>
      </w:r>
      <w:r>
        <w:t>4</w:t>
      </w:r>
      <w:r>
        <w:fldChar w:fldCharType="end"/>
      </w:r>
      <w:r>
        <w:rPr>
          <w:bCs/>
          <w:spacing w:val="-6"/>
          <w:szCs w:val="52"/>
        </w:rPr>
        <w:fldChar w:fldCharType="end"/>
      </w:r>
    </w:p>
    <w:p w14:paraId="1355DB91">
      <w:pPr>
        <w:pStyle w:val="15"/>
        <w:tabs>
          <w:tab w:val="right" w:leader="dot" w:pos="9072"/>
        </w:tabs>
      </w:pPr>
      <w:r>
        <w:rPr>
          <w:bCs/>
          <w:spacing w:val="-6"/>
          <w:szCs w:val="52"/>
        </w:rPr>
        <w:fldChar w:fldCharType="begin"/>
      </w:r>
      <w:r>
        <w:rPr>
          <w:bCs/>
          <w:spacing w:val="-6"/>
          <w:szCs w:val="52"/>
        </w:rPr>
        <w:instrText xml:space="preserve"> HYPERLINK \l _Toc26399 </w:instrText>
      </w:r>
      <w:r>
        <w:rPr>
          <w:bCs/>
          <w:spacing w:val="-6"/>
          <w:szCs w:val="52"/>
        </w:rPr>
        <w:fldChar w:fldCharType="separate"/>
      </w:r>
      <w:r>
        <w:rPr>
          <w:rFonts w:hint="eastAsia" w:ascii="宋体" w:hAnsi="宋体" w:cs="宋体"/>
          <w:spacing w:val="-6"/>
          <w:szCs w:val="21"/>
        </w:rPr>
        <w:t>3.评判方法</w:t>
      </w:r>
      <w:r>
        <w:tab/>
      </w:r>
      <w:r>
        <w:fldChar w:fldCharType="begin"/>
      </w:r>
      <w:r>
        <w:instrText xml:space="preserve"> PAGEREF _Toc26399 \h </w:instrText>
      </w:r>
      <w:r>
        <w:fldChar w:fldCharType="separate"/>
      </w:r>
      <w:r>
        <w:t>5</w:t>
      </w:r>
      <w:r>
        <w:fldChar w:fldCharType="end"/>
      </w:r>
      <w:r>
        <w:rPr>
          <w:bCs/>
          <w:spacing w:val="-6"/>
          <w:szCs w:val="52"/>
        </w:rPr>
        <w:fldChar w:fldCharType="end"/>
      </w:r>
    </w:p>
    <w:p w14:paraId="46F469B5">
      <w:pPr>
        <w:pStyle w:val="15"/>
        <w:tabs>
          <w:tab w:val="right" w:leader="dot" w:pos="9072"/>
        </w:tabs>
      </w:pPr>
      <w:r>
        <w:rPr>
          <w:bCs/>
          <w:spacing w:val="-6"/>
          <w:szCs w:val="52"/>
        </w:rPr>
        <w:fldChar w:fldCharType="begin"/>
      </w:r>
      <w:r>
        <w:rPr>
          <w:bCs/>
          <w:spacing w:val="-6"/>
          <w:szCs w:val="52"/>
        </w:rPr>
        <w:instrText xml:space="preserve"> HYPERLINK \l _Toc31277 </w:instrText>
      </w:r>
      <w:r>
        <w:rPr>
          <w:bCs/>
          <w:spacing w:val="-6"/>
          <w:szCs w:val="52"/>
        </w:rPr>
        <w:fldChar w:fldCharType="separate"/>
      </w:r>
      <w:r>
        <w:rPr>
          <w:rFonts w:hint="eastAsia" w:ascii="宋体" w:hAnsi="宋体" w:cs="宋体"/>
          <w:spacing w:val="-6"/>
          <w:szCs w:val="21"/>
        </w:rPr>
        <w:t>4.成绩复核</w:t>
      </w:r>
      <w:r>
        <w:tab/>
      </w:r>
      <w:r>
        <w:fldChar w:fldCharType="begin"/>
      </w:r>
      <w:r>
        <w:instrText xml:space="preserve"> PAGEREF _Toc31277 \h </w:instrText>
      </w:r>
      <w:r>
        <w:fldChar w:fldCharType="separate"/>
      </w:r>
      <w:r>
        <w:t>5</w:t>
      </w:r>
      <w:r>
        <w:fldChar w:fldCharType="end"/>
      </w:r>
      <w:r>
        <w:rPr>
          <w:bCs/>
          <w:spacing w:val="-6"/>
          <w:szCs w:val="52"/>
        </w:rPr>
        <w:fldChar w:fldCharType="end"/>
      </w:r>
    </w:p>
    <w:p w14:paraId="1F7D0091">
      <w:pPr>
        <w:pStyle w:val="15"/>
        <w:tabs>
          <w:tab w:val="right" w:leader="dot" w:pos="9072"/>
        </w:tabs>
      </w:pPr>
      <w:r>
        <w:rPr>
          <w:bCs/>
          <w:spacing w:val="-6"/>
          <w:szCs w:val="52"/>
        </w:rPr>
        <w:fldChar w:fldCharType="begin"/>
      </w:r>
      <w:r>
        <w:rPr>
          <w:bCs/>
          <w:spacing w:val="-6"/>
          <w:szCs w:val="52"/>
        </w:rPr>
        <w:instrText xml:space="preserve"> HYPERLINK \l _Toc4784 </w:instrText>
      </w:r>
      <w:r>
        <w:rPr>
          <w:bCs/>
          <w:spacing w:val="-6"/>
          <w:szCs w:val="52"/>
        </w:rPr>
        <w:fldChar w:fldCharType="separate"/>
      </w:r>
      <w:r>
        <w:rPr>
          <w:rFonts w:hint="eastAsia" w:ascii="宋体" w:hAnsi="宋体" w:cs="宋体"/>
          <w:spacing w:val="-6"/>
          <w:szCs w:val="21"/>
        </w:rPr>
        <w:t>5.最终成绩</w:t>
      </w:r>
      <w:r>
        <w:tab/>
      </w:r>
      <w:r>
        <w:fldChar w:fldCharType="begin"/>
      </w:r>
      <w:r>
        <w:instrText xml:space="preserve"> PAGEREF _Toc4784 \h </w:instrText>
      </w:r>
      <w:r>
        <w:fldChar w:fldCharType="separate"/>
      </w:r>
      <w:r>
        <w:t>5</w:t>
      </w:r>
      <w:r>
        <w:fldChar w:fldCharType="end"/>
      </w:r>
      <w:r>
        <w:rPr>
          <w:bCs/>
          <w:spacing w:val="-6"/>
          <w:szCs w:val="52"/>
        </w:rPr>
        <w:fldChar w:fldCharType="end"/>
      </w:r>
    </w:p>
    <w:p w14:paraId="7B4A1E1C">
      <w:pPr>
        <w:pStyle w:val="15"/>
        <w:tabs>
          <w:tab w:val="right" w:leader="dot" w:pos="9072"/>
        </w:tabs>
      </w:pPr>
      <w:r>
        <w:rPr>
          <w:bCs/>
          <w:spacing w:val="-6"/>
          <w:szCs w:val="52"/>
        </w:rPr>
        <w:fldChar w:fldCharType="begin"/>
      </w:r>
      <w:r>
        <w:rPr>
          <w:bCs/>
          <w:spacing w:val="-6"/>
          <w:szCs w:val="52"/>
        </w:rPr>
        <w:instrText xml:space="preserve"> HYPERLINK \l _Toc15121 </w:instrText>
      </w:r>
      <w:r>
        <w:rPr>
          <w:bCs/>
          <w:spacing w:val="-6"/>
          <w:szCs w:val="52"/>
        </w:rPr>
        <w:fldChar w:fldCharType="separate"/>
      </w:r>
      <w:r>
        <w:rPr>
          <w:rFonts w:hint="eastAsia" w:ascii="宋体" w:hAnsi="宋体" w:cs="宋体"/>
          <w:spacing w:val="-6"/>
          <w:szCs w:val="21"/>
        </w:rPr>
        <w:t>6.成绩排序</w:t>
      </w:r>
      <w:r>
        <w:tab/>
      </w:r>
      <w:r>
        <w:fldChar w:fldCharType="begin"/>
      </w:r>
      <w:r>
        <w:instrText xml:space="preserve"> PAGEREF _Toc15121 \h </w:instrText>
      </w:r>
      <w:r>
        <w:fldChar w:fldCharType="separate"/>
      </w:r>
      <w:r>
        <w:t>5</w:t>
      </w:r>
      <w:r>
        <w:fldChar w:fldCharType="end"/>
      </w:r>
      <w:r>
        <w:rPr>
          <w:bCs/>
          <w:spacing w:val="-6"/>
          <w:szCs w:val="52"/>
        </w:rPr>
        <w:fldChar w:fldCharType="end"/>
      </w:r>
    </w:p>
    <w:p w14:paraId="396CBAA5">
      <w:pPr>
        <w:pStyle w:val="15"/>
        <w:tabs>
          <w:tab w:val="right" w:leader="dot" w:pos="9072"/>
        </w:tabs>
      </w:pPr>
      <w:r>
        <w:rPr>
          <w:bCs/>
          <w:spacing w:val="-6"/>
          <w:szCs w:val="52"/>
        </w:rPr>
        <w:fldChar w:fldCharType="begin"/>
      </w:r>
      <w:r>
        <w:rPr>
          <w:bCs/>
          <w:spacing w:val="-6"/>
          <w:szCs w:val="52"/>
        </w:rPr>
        <w:instrText xml:space="preserve"> HYPERLINK \l _Toc30561 </w:instrText>
      </w:r>
      <w:r>
        <w:rPr>
          <w:bCs/>
          <w:spacing w:val="-6"/>
          <w:szCs w:val="52"/>
        </w:rPr>
        <w:fldChar w:fldCharType="separate"/>
      </w:r>
      <w:r>
        <w:rPr>
          <w:rFonts w:hint="eastAsia" w:ascii="宋体" w:hAnsi="宋体" w:cs="宋体"/>
          <w:spacing w:val="-6"/>
          <w:szCs w:val="21"/>
        </w:rPr>
        <w:t>7.成绩并列</w:t>
      </w:r>
      <w:r>
        <w:tab/>
      </w:r>
      <w:r>
        <w:fldChar w:fldCharType="begin"/>
      </w:r>
      <w:r>
        <w:instrText xml:space="preserve"> PAGEREF _Toc30561 \h </w:instrText>
      </w:r>
      <w:r>
        <w:fldChar w:fldCharType="separate"/>
      </w:r>
      <w:r>
        <w:t>5</w:t>
      </w:r>
      <w:r>
        <w:fldChar w:fldCharType="end"/>
      </w:r>
      <w:r>
        <w:rPr>
          <w:bCs/>
          <w:spacing w:val="-6"/>
          <w:szCs w:val="52"/>
        </w:rPr>
        <w:fldChar w:fldCharType="end"/>
      </w:r>
    </w:p>
    <w:p w14:paraId="40D85C0D">
      <w:pPr>
        <w:pStyle w:val="15"/>
        <w:tabs>
          <w:tab w:val="right" w:leader="dot" w:pos="9072"/>
        </w:tabs>
      </w:pPr>
      <w:r>
        <w:rPr>
          <w:bCs/>
          <w:spacing w:val="-6"/>
          <w:szCs w:val="52"/>
        </w:rPr>
        <w:fldChar w:fldCharType="begin"/>
      </w:r>
      <w:r>
        <w:rPr>
          <w:bCs/>
          <w:spacing w:val="-6"/>
          <w:szCs w:val="52"/>
        </w:rPr>
        <w:instrText xml:space="preserve"> HYPERLINK \l _Toc16516 </w:instrText>
      </w:r>
      <w:r>
        <w:rPr>
          <w:bCs/>
          <w:spacing w:val="-6"/>
          <w:szCs w:val="52"/>
        </w:rPr>
        <w:fldChar w:fldCharType="separate"/>
      </w:r>
      <w:r>
        <w:rPr>
          <w:rFonts w:hint="eastAsia" w:ascii="宋体" w:hAnsi="宋体" w:cs="宋体"/>
          <w:bCs/>
          <w:szCs w:val="28"/>
        </w:rPr>
        <w:t>（四）公布方式(保密安排)</w:t>
      </w:r>
      <w:r>
        <w:tab/>
      </w:r>
      <w:r>
        <w:fldChar w:fldCharType="begin"/>
      </w:r>
      <w:r>
        <w:instrText xml:space="preserve"> PAGEREF _Toc16516 \h </w:instrText>
      </w:r>
      <w:r>
        <w:fldChar w:fldCharType="separate"/>
      </w:r>
      <w:r>
        <w:t>5</w:t>
      </w:r>
      <w:r>
        <w:fldChar w:fldCharType="end"/>
      </w:r>
      <w:r>
        <w:rPr>
          <w:bCs/>
          <w:spacing w:val="-6"/>
          <w:szCs w:val="52"/>
        </w:rPr>
        <w:fldChar w:fldCharType="end"/>
      </w:r>
    </w:p>
    <w:p w14:paraId="467CBB08">
      <w:pPr>
        <w:pStyle w:val="14"/>
        <w:tabs>
          <w:tab w:val="right" w:leader="dot" w:pos="9072"/>
        </w:tabs>
      </w:pPr>
      <w:r>
        <w:rPr>
          <w:bCs/>
          <w:spacing w:val="-6"/>
          <w:szCs w:val="52"/>
        </w:rPr>
        <w:fldChar w:fldCharType="begin"/>
      </w:r>
      <w:r>
        <w:rPr>
          <w:bCs/>
          <w:spacing w:val="-6"/>
          <w:szCs w:val="52"/>
        </w:rPr>
        <w:instrText xml:space="preserve"> HYPERLINK \l _Toc20376 </w:instrText>
      </w:r>
      <w:r>
        <w:rPr>
          <w:bCs/>
          <w:spacing w:val="-6"/>
          <w:szCs w:val="52"/>
        </w:rPr>
        <w:fldChar w:fldCharType="separate"/>
      </w:r>
      <w:r>
        <w:rPr>
          <w:rFonts w:hint="eastAsia"/>
          <w:bCs/>
          <w:spacing w:val="-6"/>
          <w:szCs w:val="32"/>
        </w:rPr>
        <w:t>三、竞赛细则</w:t>
      </w:r>
      <w:r>
        <w:tab/>
      </w:r>
      <w:r>
        <w:fldChar w:fldCharType="begin"/>
      </w:r>
      <w:r>
        <w:instrText xml:space="preserve"> PAGEREF _Toc20376 \h </w:instrText>
      </w:r>
      <w:r>
        <w:fldChar w:fldCharType="separate"/>
      </w:r>
      <w:r>
        <w:t>5</w:t>
      </w:r>
      <w:r>
        <w:fldChar w:fldCharType="end"/>
      </w:r>
      <w:r>
        <w:rPr>
          <w:bCs/>
          <w:spacing w:val="-6"/>
          <w:szCs w:val="52"/>
        </w:rPr>
        <w:fldChar w:fldCharType="end"/>
      </w:r>
    </w:p>
    <w:p w14:paraId="0067B47A">
      <w:pPr>
        <w:pStyle w:val="15"/>
        <w:tabs>
          <w:tab w:val="right" w:leader="dot" w:pos="9072"/>
        </w:tabs>
      </w:pPr>
      <w:r>
        <w:rPr>
          <w:bCs/>
          <w:spacing w:val="-6"/>
          <w:szCs w:val="52"/>
        </w:rPr>
        <w:fldChar w:fldCharType="begin"/>
      </w:r>
      <w:r>
        <w:rPr>
          <w:bCs/>
          <w:spacing w:val="-6"/>
          <w:szCs w:val="52"/>
        </w:rPr>
        <w:instrText xml:space="preserve"> HYPERLINK \l _Toc29912 </w:instrText>
      </w:r>
      <w:r>
        <w:rPr>
          <w:bCs/>
          <w:spacing w:val="-6"/>
          <w:szCs w:val="52"/>
        </w:rPr>
        <w:fldChar w:fldCharType="separate"/>
      </w:r>
      <w:r>
        <w:rPr>
          <w:rFonts w:hint="eastAsia"/>
          <w:bCs/>
          <w:spacing w:val="-6"/>
          <w:szCs w:val="28"/>
        </w:rPr>
        <w:t>（一）竞赛时间安排</w:t>
      </w:r>
      <w:r>
        <w:tab/>
      </w:r>
      <w:r>
        <w:fldChar w:fldCharType="begin"/>
      </w:r>
      <w:r>
        <w:instrText xml:space="preserve"> PAGEREF _Toc29912 \h </w:instrText>
      </w:r>
      <w:r>
        <w:fldChar w:fldCharType="separate"/>
      </w:r>
      <w:r>
        <w:t>5</w:t>
      </w:r>
      <w:r>
        <w:fldChar w:fldCharType="end"/>
      </w:r>
      <w:r>
        <w:rPr>
          <w:bCs/>
          <w:spacing w:val="-6"/>
          <w:szCs w:val="52"/>
        </w:rPr>
        <w:fldChar w:fldCharType="end"/>
      </w:r>
    </w:p>
    <w:p w14:paraId="21255D14">
      <w:pPr>
        <w:pStyle w:val="15"/>
        <w:tabs>
          <w:tab w:val="right" w:leader="dot" w:pos="9072"/>
        </w:tabs>
      </w:pPr>
      <w:r>
        <w:rPr>
          <w:bCs/>
          <w:spacing w:val="-6"/>
          <w:szCs w:val="52"/>
        </w:rPr>
        <w:fldChar w:fldCharType="begin"/>
      </w:r>
      <w:r>
        <w:rPr>
          <w:bCs/>
          <w:spacing w:val="-6"/>
          <w:szCs w:val="52"/>
        </w:rPr>
        <w:instrText xml:space="preserve"> HYPERLINK \l _Toc6096 </w:instrText>
      </w:r>
      <w:r>
        <w:rPr>
          <w:bCs/>
          <w:spacing w:val="-6"/>
          <w:szCs w:val="52"/>
        </w:rPr>
        <w:fldChar w:fldCharType="separate"/>
      </w:r>
      <w:r>
        <w:rPr>
          <w:rFonts w:hint="eastAsia"/>
          <w:bCs/>
          <w:spacing w:val="-6"/>
          <w:szCs w:val="28"/>
        </w:rPr>
        <w:t>（二）裁判员分组和职责</w:t>
      </w:r>
      <w:r>
        <w:tab/>
      </w:r>
      <w:r>
        <w:fldChar w:fldCharType="begin"/>
      </w:r>
      <w:r>
        <w:instrText xml:space="preserve"> PAGEREF _Toc6096 \h </w:instrText>
      </w:r>
      <w:r>
        <w:fldChar w:fldCharType="separate"/>
      </w:r>
      <w:r>
        <w:t>6</w:t>
      </w:r>
      <w:r>
        <w:fldChar w:fldCharType="end"/>
      </w:r>
      <w:r>
        <w:rPr>
          <w:bCs/>
          <w:spacing w:val="-6"/>
          <w:szCs w:val="52"/>
        </w:rPr>
        <w:fldChar w:fldCharType="end"/>
      </w:r>
    </w:p>
    <w:p w14:paraId="69BF6C1C">
      <w:pPr>
        <w:pStyle w:val="15"/>
        <w:tabs>
          <w:tab w:val="right" w:leader="dot" w:pos="9072"/>
        </w:tabs>
      </w:pPr>
      <w:r>
        <w:rPr>
          <w:bCs/>
          <w:spacing w:val="-6"/>
          <w:szCs w:val="52"/>
        </w:rPr>
        <w:fldChar w:fldCharType="begin"/>
      </w:r>
      <w:r>
        <w:rPr>
          <w:bCs/>
          <w:spacing w:val="-6"/>
          <w:szCs w:val="52"/>
        </w:rPr>
        <w:instrText xml:space="preserve"> HYPERLINK \l _Toc6189 </w:instrText>
      </w:r>
      <w:r>
        <w:rPr>
          <w:bCs/>
          <w:spacing w:val="-6"/>
          <w:szCs w:val="52"/>
        </w:rPr>
        <w:fldChar w:fldCharType="separate"/>
      </w:r>
      <w:r>
        <w:rPr>
          <w:rFonts w:hint="eastAsia"/>
          <w:bCs/>
          <w:spacing w:val="-6"/>
          <w:szCs w:val="28"/>
        </w:rPr>
        <w:t>（三）竞赛实施细则</w:t>
      </w:r>
      <w:r>
        <w:tab/>
      </w:r>
      <w:r>
        <w:fldChar w:fldCharType="begin"/>
      </w:r>
      <w:r>
        <w:instrText xml:space="preserve"> PAGEREF _Toc6189 \h </w:instrText>
      </w:r>
      <w:r>
        <w:fldChar w:fldCharType="separate"/>
      </w:r>
      <w:r>
        <w:t>6</w:t>
      </w:r>
      <w:r>
        <w:fldChar w:fldCharType="end"/>
      </w:r>
      <w:r>
        <w:rPr>
          <w:bCs/>
          <w:spacing w:val="-6"/>
          <w:szCs w:val="52"/>
        </w:rPr>
        <w:fldChar w:fldCharType="end"/>
      </w:r>
    </w:p>
    <w:p w14:paraId="537EE0F6">
      <w:pPr>
        <w:pStyle w:val="15"/>
        <w:tabs>
          <w:tab w:val="right" w:leader="dot" w:pos="9072"/>
        </w:tabs>
      </w:pPr>
      <w:r>
        <w:rPr>
          <w:bCs/>
          <w:spacing w:val="-6"/>
          <w:szCs w:val="52"/>
        </w:rPr>
        <w:fldChar w:fldCharType="begin"/>
      </w:r>
      <w:r>
        <w:rPr>
          <w:bCs/>
          <w:spacing w:val="-6"/>
          <w:szCs w:val="52"/>
        </w:rPr>
        <w:instrText xml:space="preserve"> HYPERLINK \l _Toc14075 </w:instrText>
      </w:r>
      <w:r>
        <w:rPr>
          <w:bCs/>
          <w:spacing w:val="-6"/>
          <w:szCs w:val="52"/>
        </w:rPr>
        <w:fldChar w:fldCharType="separate"/>
      </w:r>
      <w:r>
        <w:rPr>
          <w:rFonts w:hint="eastAsia" w:ascii="宋体" w:hAnsi="宋体" w:cs="宋体"/>
          <w:spacing w:val="-6"/>
          <w:szCs w:val="21"/>
        </w:rPr>
        <w:t>1.赛前准备</w:t>
      </w:r>
      <w:r>
        <w:tab/>
      </w:r>
      <w:r>
        <w:fldChar w:fldCharType="begin"/>
      </w:r>
      <w:r>
        <w:instrText xml:space="preserve"> PAGEREF _Toc14075 \h </w:instrText>
      </w:r>
      <w:r>
        <w:fldChar w:fldCharType="separate"/>
      </w:r>
      <w:r>
        <w:t>6</w:t>
      </w:r>
      <w:r>
        <w:fldChar w:fldCharType="end"/>
      </w:r>
      <w:r>
        <w:rPr>
          <w:bCs/>
          <w:spacing w:val="-6"/>
          <w:szCs w:val="52"/>
        </w:rPr>
        <w:fldChar w:fldCharType="end"/>
      </w:r>
    </w:p>
    <w:p w14:paraId="4B4A9627">
      <w:pPr>
        <w:pStyle w:val="15"/>
        <w:tabs>
          <w:tab w:val="right" w:leader="dot" w:pos="9072"/>
        </w:tabs>
      </w:pPr>
      <w:r>
        <w:rPr>
          <w:bCs/>
          <w:spacing w:val="-6"/>
          <w:szCs w:val="52"/>
        </w:rPr>
        <w:fldChar w:fldCharType="begin"/>
      </w:r>
      <w:r>
        <w:rPr>
          <w:bCs/>
          <w:spacing w:val="-6"/>
          <w:szCs w:val="52"/>
        </w:rPr>
        <w:instrText xml:space="preserve"> HYPERLINK \l _Toc10189 </w:instrText>
      </w:r>
      <w:r>
        <w:rPr>
          <w:bCs/>
          <w:spacing w:val="-6"/>
          <w:szCs w:val="52"/>
        </w:rPr>
        <w:fldChar w:fldCharType="separate"/>
      </w:r>
      <w:r>
        <w:rPr>
          <w:rFonts w:hint="eastAsia" w:ascii="宋体" w:hAnsi="宋体" w:cs="宋体"/>
          <w:spacing w:val="-6"/>
          <w:szCs w:val="21"/>
        </w:rPr>
        <w:t>2.竞赛实施</w:t>
      </w:r>
      <w:r>
        <w:tab/>
      </w:r>
      <w:r>
        <w:fldChar w:fldCharType="begin"/>
      </w:r>
      <w:r>
        <w:instrText xml:space="preserve"> PAGEREF _Toc10189 \h </w:instrText>
      </w:r>
      <w:r>
        <w:fldChar w:fldCharType="separate"/>
      </w:r>
      <w:r>
        <w:t>7</w:t>
      </w:r>
      <w:r>
        <w:fldChar w:fldCharType="end"/>
      </w:r>
      <w:r>
        <w:rPr>
          <w:bCs/>
          <w:spacing w:val="-6"/>
          <w:szCs w:val="52"/>
        </w:rPr>
        <w:fldChar w:fldCharType="end"/>
      </w:r>
    </w:p>
    <w:p w14:paraId="155B3EE6">
      <w:pPr>
        <w:pStyle w:val="15"/>
        <w:tabs>
          <w:tab w:val="right" w:leader="dot" w:pos="9072"/>
        </w:tabs>
      </w:pPr>
      <w:r>
        <w:rPr>
          <w:bCs/>
          <w:spacing w:val="-6"/>
          <w:szCs w:val="52"/>
        </w:rPr>
        <w:fldChar w:fldCharType="begin"/>
      </w:r>
      <w:r>
        <w:rPr>
          <w:bCs/>
          <w:spacing w:val="-6"/>
          <w:szCs w:val="52"/>
        </w:rPr>
        <w:instrText xml:space="preserve"> HYPERLINK \l _Toc9938 </w:instrText>
      </w:r>
      <w:r>
        <w:rPr>
          <w:bCs/>
          <w:spacing w:val="-6"/>
          <w:szCs w:val="52"/>
        </w:rPr>
        <w:fldChar w:fldCharType="separate"/>
      </w:r>
      <w:r>
        <w:rPr>
          <w:rFonts w:hint="eastAsia" w:ascii="宋体" w:hAnsi="宋体" w:cs="宋体"/>
          <w:spacing w:val="-6"/>
          <w:szCs w:val="21"/>
        </w:rPr>
        <w:t>3.技术违规处理</w:t>
      </w:r>
      <w:r>
        <w:tab/>
      </w:r>
      <w:r>
        <w:fldChar w:fldCharType="begin"/>
      </w:r>
      <w:r>
        <w:instrText xml:space="preserve"> PAGEREF _Toc9938 \h </w:instrText>
      </w:r>
      <w:r>
        <w:fldChar w:fldCharType="separate"/>
      </w:r>
      <w:r>
        <w:t>7</w:t>
      </w:r>
      <w:r>
        <w:fldChar w:fldCharType="end"/>
      </w:r>
      <w:r>
        <w:rPr>
          <w:bCs/>
          <w:spacing w:val="-6"/>
          <w:szCs w:val="52"/>
        </w:rPr>
        <w:fldChar w:fldCharType="end"/>
      </w:r>
    </w:p>
    <w:p w14:paraId="761ED33D">
      <w:pPr>
        <w:pStyle w:val="15"/>
        <w:tabs>
          <w:tab w:val="right" w:leader="dot" w:pos="9072"/>
        </w:tabs>
      </w:pPr>
      <w:r>
        <w:rPr>
          <w:bCs/>
          <w:spacing w:val="-6"/>
          <w:szCs w:val="52"/>
        </w:rPr>
        <w:fldChar w:fldCharType="begin"/>
      </w:r>
      <w:r>
        <w:rPr>
          <w:bCs/>
          <w:spacing w:val="-6"/>
          <w:szCs w:val="52"/>
        </w:rPr>
        <w:instrText xml:space="preserve"> HYPERLINK \l _Toc18886 </w:instrText>
      </w:r>
      <w:r>
        <w:rPr>
          <w:bCs/>
          <w:spacing w:val="-6"/>
          <w:szCs w:val="52"/>
        </w:rPr>
        <w:fldChar w:fldCharType="separate"/>
      </w:r>
      <w:r>
        <w:rPr>
          <w:rFonts w:hint="eastAsia" w:ascii="宋体" w:hAnsi="宋体" w:cs="宋体"/>
          <w:spacing w:val="-6"/>
          <w:szCs w:val="21"/>
        </w:rPr>
        <w:t>4.问题或争议处理</w:t>
      </w:r>
      <w:r>
        <w:tab/>
      </w:r>
      <w:r>
        <w:fldChar w:fldCharType="begin"/>
      </w:r>
      <w:r>
        <w:instrText xml:space="preserve"> PAGEREF _Toc18886 \h </w:instrText>
      </w:r>
      <w:r>
        <w:fldChar w:fldCharType="separate"/>
      </w:r>
      <w:r>
        <w:t>7</w:t>
      </w:r>
      <w:r>
        <w:fldChar w:fldCharType="end"/>
      </w:r>
      <w:r>
        <w:rPr>
          <w:bCs/>
          <w:spacing w:val="-6"/>
          <w:szCs w:val="52"/>
        </w:rPr>
        <w:fldChar w:fldCharType="end"/>
      </w:r>
    </w:p>
    <w:p w14:paraId="7AE2C84B">
      <w:pPr>
        <w:pStyle w:val="15"/>
        <w:tabs>
          <w:tab w:val="right" w:leader="dot" w:pos="9072"/>
        </w:tabs>
      </w:pPr>
      <w:r>
        <w:rPr>
          <w:bCs/>
          <w:spacing w:val="-6"/>
          <w:szCs w:val="52"/>
        </w:rPr>
        <w:fldChar w:fldCharType="begin"/>
      </w:r>
      <w:r>
        <w:rPr>
          <w:bCs/>
          <w:spacing w:val="-6"/>
          <w:szCs w:val="52"/>
        </w:rPr>
        <w:instrText xml:space="preserve"> HYPERLINK \l _Toc919 </w:instrText>
      </w:r>
      <w:r>
        <w:rPr>
          <w:bCs/>
          <w:spacing w:val="-6"/>
          <w:szCs w:val="52"/>
        </w:rPr>
        <w:fldChar w:fldCharType="separate"/>
      </w:r>
      <w:r>
        <w:rPr>
          <w:rFonts w:hint="eastAsia" w:ascii="宋体" w:hAnsi="宋体" w:cs="宋体"/>
          <w:spacing w:val="-6"/>
          <w:szCs w:val="21"/>
        </w:rPr>
        <w:t>5.本项目特别规定</w:t>
      </w:r>
      <w:r>
        <w:tab/>
      </w:r>
      <w:r>
        <w:fldChar w:fldCharType="begin"/>
      </w:r>
      <w:r>
        <w:instrText xml:space="preserve"> PAGEREF _Toc919 \h </w:instrText>
      </w:r>
      <w:r>
        <w:fldChar w:fldCharType="separate"/>
      </w:r>
      <w:r>
        <w:t>7</w:t>
      </w:r>
      <w:r>
        <w:fldChar w:fldCharType="end"/>
      </w:r>
      <w:r>
        <w:rPr>
          <w:bCs/>
          <w:spacing w:val="-6"/>
          <w:szCs w:val="52"/>
        </w:rPr>
        <w:fldChar w:fldCharType="end"/>
      </w:r>
    </w:p>
    <w:p w14:paraId="12B7F663">
      <w:pPr>
        <w:pStyle w:val="14"/>
        <w:tabs>
          <w:tab w:val="right" w:leader="dot" w:pos="9072"/>
        </w:tabs>
      </w:pPr>
      <w:r>
        <w:rPr>
          <w:bCs/>
          <w:spacing w:val="-6"/>
          <w:szCs w:val="52"/>
        </w:rPr>
        <w:fldChar w:fldCharType="begin"/>
      </w:r>
      <w:r>
        <w:rPr>
          <w:bCs/>
          <w:spacing w:val="-6"/>
          <w:szCs w:val="52"/>
        </w:rPr>
        <w:instrText xml:space="preserve"> HYPERLINK \l _Toc9739 </w:instrText>
      </w:r>
      <w:r>
        <w:rPr>
          <w:bCs/>
          <w:spacing w:val="-6"/>
          <w:szCs w:val="52"/>
        </w:rPr>
        <w:fldChar w:fldCharType="separate"/>
      </w:r>
      <w:r>
        <w:rPr>
          <w:rFonts w:hint="eastAsia"/>
          <w:bCs/>
          <w:spacing w:val="-6"/>
          <w:szCs w:val="32"/>
        </w:rPr>
        <w:t>四、竞赛场地、设施设备等安排</w:t>
      </w:r>
      <w:r>
        <w:tab/>
      </w:r>
      <w:r>
        <w:fldChar w:fldCharType="begin"/>
      </w:r>
      <w:r>
        <w:instrText xml:space="preserve"> PAGEREF _Toc9739 \h </w:instrText>
      </w:r>
      <w:r>
        <w:fldChar w:fldCharType="separate"/>
      </w:r>
      <w:r>
        <w:t>7</w:t>
      </w:r>
      <w:r>
        <w:fldChar w:fldCharType="end"/>
      </w:r>
      <w:r>
        <w:rPr>
          <w:bCs/>
          <w:spacing w:val="-6"/>
          <w:szCs w:val="52"/>
        </w:rPr>
        <w:fldChar w:fldCharType="end"/>
      </w:r>
    </w:p>
    <w:p w14:paraId="2DB6E586">
      <w:pPr>
        <w:pStyle w:val="15"/>
        <w:tabs>
          <w:tab w:val="right" w:leader="dot" w:pos="9072"/>
        </w:tabs>
      </w:pPr>
      <w:r>
        <w:rPr>
          <w:bCs/>
          <w:spacing w:val="-6"/>
          <w:szCs w:val="52"/>
        </w:rPr>
        <w:fldChar w:fldCharType="begin"/>
      </w:r>
      <w:r>
        <w:rPr>
          <w:bCs/>
          <w:spacing w:val="-6"/>
          <w:szCs w:val="52"/>
        </w:rPr>
        <w:instrText xml:space="preserve"> HYPERLINK \l _Toc26406 </w:instrText>
      </w:r>
      <w:r>
        <w:rPr>
          <w:bCs/>
          <w:spacing w:val="-6"/>
          <w:szCs w:val="52"/>
        </w:rPr>
        <w:fldChar w:fldCharType="separate"/>
      </w:r>
      <w:r>
        <w:rPr>
          <w:rFonts w:hint="eastAsia"/>
          <w:bCs/>
          <w:spacing w:val="-6"/>
          <w:szCs w:val="28"/>
        </w:rPr>
        <w:t>（一）赛场规格要求</w:t>
      </w:r>
      <w:r>
        <w:tab/>
      </w:r>
      <w:r>
        <w:fldChar w:fldCharType="begin"/>
      </w:r>
      <w:r>
        <w:instrText xml:space="preserve"> PAGEREF _Toc26406 \h </w:instrText>
      </w:r>
      <w:r>
        <w:fldChar w:fldCharType="separate"/>
      </w:r>
      <w:r>
        <w:t>7</w:t>
      </w:r>
      <w:r>
        <w:fldChar w:fldCharType="end"/>
      </w:r>
      <w:r>
        <w:rPr>
          <w:bCs/>
          <w:spacing w:val="-6"/>
          <w:szCs w:val="52"/>
        </w:rPr>
        <w:fldChar w:fldCharType="end"/>
      </w:r>
    </w:p>
    <w:p w14:paraId="16A5C5D4">
      <w:pPr>
        <w:pStyle w:val="15"/>
        <w:tabs>
          <w:tab w:val="right" w:leader="dot" w:pos="9072"/>
        </w:tabs>
      </w:pPr>
      <w:r>
        <w:rPr>
          <w:bCs/>
          <w:spacing w:val="-6"/>
          <w:szCs w:val="52"/>
        </w:rPr>
        <w:fldChar w:fldCharType="begin"/>
      </w:r>
      <w:r>
        <w:rPr>
          <w:bCs/>
          <w:spacing w:val="-6"/>
          <w:szCs w:val="52"/>
        </w:rPr>
        <w:instrText xml:space="preserve"> HYPERLINK \l _Toc8672 </w:instrText>
      </w:r>
      <w:r>
        <w:rPr>
          <w:bCs/>
          <w:spacing w:val="-6"/>
          <w:szCs w:val="52"/>
        </w:rPr>
        <w:fldChar w:fldCharType="separate"/>
      </w:r>
      <w:r>
        <w:rPr>
          <w:rFonts w:hint="eastAsia"/>
          <w:bCs/>
          <w:spacing w:val="-6"/>
          <w:szCs w:val="28"/>
        </w:rPr>
        <w:t>（二）场地设施</w:t>
      </w:r>
      <w:r>
        <w:tab/>
      </w:r>
      <w:r>
        <w:fldChar w:fldCharType="begin"/>
      </w:r>
      <w:r>
        <w:instrText xml:space="preserve"> PAGEREF _Toc8672 \h </w:instrText>
      </w:r>
      <w:r>
        <w:fldChar w:fldCharType="separate"/>
      </w:r>
      <w:r>
        <w:t>10</w:t>
      </w:r>
      <w:r>
        <w:fldChar w:fldCharType="end"/>
      </w:r>
      <w:r>
        <w:rPr>
          <w:bCs/>
          <w:spacing w:val="-6"/>
          <w:szCs w:val="52"/>
        </w:rPr>
        <w:fldChar w:fldCharType="end"/>
      </w:r>
    </w:p>
    <w:p w14:paraId="393B0891">
      <w:pPr>
        <w:pStyle w:val="15"/>
        <w:tabs>
          <w:tab w:val="right" w:leader="dot" w:pos="9072"/>
        </w:tabs>
      </w:pPr>
      <w:r>
        <w:rPr>
          <w:bCs/>
          <w:spacing w:val="-6"/>
          <w:szCs w:val="52"/>
        </w:rPr>
        <w:fldChar w:fldCharType="begin"/>
      </w:r>
      <w:r>
        <w:rPr>
          <w:bCs/>
          <w:spacing w:val="-6"/>
          <w:szCs w:val="52"/>
        </w:rPr>
        <w:instrText xml:space="preserve"> HYPERLINK \l _Toc20801 </w:instrText>
      </w:r>
      <w:r>
        <w:rPr>
          <w:bCs/>
          <w:spacing w:val="-6"/>
          <w:szCs w:val="52"/>
        </w:rPr>
        <w:fldChar w:fldCharType="separate"/>
      </w:r>
      <w:r>
        <w:rPr>
          <w:rFonts w:hint="eastAsia" w:ascii="宋体" w:hAnsi="宋体" w:cs="宋体"/>
          <w:spacing w:val="-6"/>
          <w:szCs w:val="21"/>
        </w:rPr>
        <w:t>1.场地设施设备和材料(按每一个工位必须配备）</w:t>
      </w:r>
      <w:r>
        <w:tab/>
      </w:r>
      <w:r>
        <w:fldChar w:fldCharType="begin"/>
      </w:r>
      <w:r>
        <w:instrText xml:space="preserve"> PAGEREF _Toc20801 \h </w:instrText>
      </w:r>
      <w:r>
        <w:fldChar w:fldCharType="separate"/>
      </w:r>
      <w:r>
        <w:t>10</w:t>
      </w:r>
      <w:r>
        <w:fldChar w:fldCharType="end"/>
      </w:r>
      <w:r>
        <w:rPr>
          <w:bCs/>
          <w:spacing w:val="-6"/>
          <w:szCs w:val="52"/>
        </w:rPr>
        <w:fldChar w:fldCharType="end"/>
      </w:r>
    </w:p>
    <w:p w14:paraId="76D6265F">
      <w:pPr>
        <w:pStyle w:val="15"/>
        <w:tabs>
          <w:tab w:val="right" w:leader="dot" w:pos="9072"/>
        </w:tabs>
      </w:pPr>
      <w:r>
        <w:rPr>
          <w:bCs/>
          <w:spacing w:val="-6"/>
          <w:szCs w:val="52"/>
        </w:rPr>
        <w:fldChar w:fldCharType="begin"/>
      </w:r>
      <w:r>
        <w:rPr>
          <w:bCs/>
          <w:spacing w:val="-6"/>
          <w:szCs w:val="52"/>
        </w:rPr>
        <w:instrText xml:space="preserve"> HYPERLINK \l _Toc22366 </w:instrText>
      </w:r>
      <w:r>
        <w:rPr>
          <w:bCs/>
          <w:spacing w:val="-6"/>
          <w:szCs w:val="52"/>
        </w:rPr>
        <w:fldChar w:fldCharType="separate"/>
      </w:r>
      <w:r>
        <w:rPr>
          <w:rFonts w:hint="eastAsia" w:ascii="宋体" w:hAnsi="宋体" w:cs="宋体"/>
          <w:spacing w:val="-6"/>
          <w:szCs w:val="21"/>
        </w:rPr>
        <w:t>2.裁判使用设备和工具</w:t>
      </w:r>
      <w:r>
        <w:tab/>
      </w:r>
      <w:r>
        <w:fldChar w:fldCharType="begin"/>
      </w:r>
      <w:r>
        <w:instrText xml:space="preserve"> PAGEREF _Toc22366 \h </w:instrText>
      </w:r>
      <w:r>
        <w:fldChar w:fldCharType="separate"/>
      </w:r>
      <w:r>
        <w:t>11</w:t>
      </w:r>
      <w:r>
        <w:fldChar w:fldCharType="end"/>
      </w:r>
      <w:r>
        <w:rPr>
          <w:bCs/>
          <w:spacing w:val="-6"/>
          <w:szCs w:val="52"/>
        </w:rPr>
        <w:fldChar w:fldCharType="end"/>
      </w:r>
    </w:p>
    <w:p w14:paraId="270E9A9D">
      <w:pPr>
        <w:pStyle w:val="15"/>
        <w:tabs>
          <w:tab w:val="right" w:leader="dot" w:pos="9072"/>
        </w:tabs>
      </w:pPr>
      <w:r>
        <w:rPr>
          <w:bCs/>
          <w:spacing w:val="-6"/>
          <w:szCs w:val="52"/>
        </w:rPr>
        <w:fldChar w:fldCharType="begin"/>
      </w:r>
      <w:r>
        <w:rPr>
          <w:bCs/>
          <w:spacing w:val="-6"/>
          <w:szCs w:val="52"/>
        </w:rPr>
        <w:instrText xml:space="preserve"> HYPERLINK \l _Toc12152 </w:instrText>
      </w:r>
      <w:r>
        <w:rPr>
          <w:bCs/>
          <w:spacing w:val="-6"/>
          <w:szCs w:val="52"/>
        </w:rPr>
        <w:fldChar w:fldCharType="separate"/>
      </w:r>
      <w:r>
        <w:rPr>
          <w:rFonts w:hint="eastAsia" w:ascii="宋体" w:hAnsi="宋体" w:cs="宋体"/>
          <w:spacing w:val="-6"/>
          <w:szCs w:val="21"/>
        </w:rPr>
        <w:t>3.选手自备的设备和工具</w:t>
      </w:r>
      <w:r>
        <w:tab/>
      </w:r>
      <w:r>
        <w:fldChar w:fldCharType="begin"/>
      </w:r>
      <w:r>
        <w:instrText xml:space="preserve"> PAGEREF _Toc12152 \h </w:instrText>
      </w:r>
      <w:r>
        <w:fldChar w:fldCharType="separate"/>
      </w:r>
      <w:r>
        <w:t>11</w:t>
      </w:r>
      <w:r>
        <w:fldChar w:fldCharType="end"/>
      </w:r>
      <w:r>
        <w:rPr>
          <w:bCs/>
          <w:spacing w:val="-6"/>
          <w:szCs w:val="52"/>
        </w:rPr>
        <w:fldChar w:fldCharType="end"/>
      </w:r>
    </w:p>
    <w:p w14:paraId="555C0E49">
      <w:pPr>
        <w:pStyle w:val="15"/>
        <w:tabs>
          <w:tab w:val="right" w:leader="dot" w:pos="9072"/>
        </w:tabs>
      </w:pPr>
      <w:r>
        <w:rPr>
          <w:bCs/>
          <w:spacing w:val="-6"/>
          <w:szCs w:val="52"/>
        </w:rPr>
        <w:fldChar w:fldCharType="begin"/>
      </w:r>
      <w:r>
        <w:rPr>
          <w:bCs/>
          <w:spacing w:val="-6"/>
          <w:szCs w:val="52"/>
        </w:rPr>
        <w:instrText xml:space="preserve"> HYPERLINK \l _Toc12875 </w:instrText>
      </w:r>
      <w:r>
        <w:rPr>
          <w:bCs/>
          <w:spacing w:val="-6"/>
          <w:szCs w:val="52"/>
        </w:rPr>
        <w:fldChar w:fldCharType="separate"/>
      </w:r>
      <w:r>
        <w:rPr>
          <w:rFonts w:hint="eastAsia" w:ascii="宋体" w:hAnsi="宋体" w:cs="宋体"/>
          <w:spacing w:val="-6"/>
          <w:szCs w:val="21"/>
        </w:rPr>
        <w:t>4.禁止自带使用的设备、工具和材料</w:t>
      </w:r>
      <w:r>
        <w:tab/>
      </w:r>
      <w:r>
        <w:fldChar w:fldCharType="begin"/>
      </w:r>
      <w:r>
        <w:instrText xml:space="preserve"> PAGEREF _Toc12875 \h </w:instrText>
      </w:r>
      <w:r>
        <w:fldChar w:fldCharType="separate"/>
      </w:r>
      <w:r>
        <w:t>11</w:t>
      </w:r>
      <w:r>
        <w:fldChar w:fldCharType="end"/>
      </w:r>
      <w:r>
        <w:rPr>
          <w:bCs/>
          <w:spacing w:val="-6"/>
          <w:szCs w:val="52"/>
        </w:rPr>
        <w:fldChar w:fldCharType="end"/>
      </w:r>
    </w:p>
    <w:p w14:paraId="118009E2">
      <w:pPr>
        <w:pStyle w:val="14"/>
        <w:tabs>
          <w:tab w:val="right" w:leader="dot" w:pos="9072"/>
        </w:tabs>
      </w:pPr>
      <w:r>
        <w:rPr>
          <w:bCs/>
          <w:spacing w:val="-6"/>
          <w:szCs w:val="52"/>
        </w:rPr>
        <w:fldChar w:fldCharType="begin"/>
      </w:r>
      <w:r>
        <w:rPr>
          <w:bCs/>
          <w:spacing w:val="-6"/>
          <w:szCs w:val="52"/>
        </w:rPr>
        <w:instrText xml:space="preserve"> HYPERLINK \l _Toc26911 </w:instrText>
      </w:r>
      <w:r>
        <w:rPr>
          <w:bCs/>
          <w:spacing w:val="-6"/>
          <w:szCs w:val="52"/>
        </w:rPr>
        <w:fldChar w:fldCharType="separate"/>
      </w:r>
      <w:r>
        <w:rPr>
          <w:rFonts w:hint="eastAsia"/>
          <w:bCs/>
          <w:spacing w:val="-6"/>
          <w:szCs w:val="32"/>
        </w:rPr>
        <w:t>五、健康、安全和环保要求</w:t>
      </w:r>
      <w:r>
        <w:tab/>
      </w:r>
      <w:r>
        <w:fldChar w:fldCharType="begin"/>
      </w:r>
      <w:r>
        <w:instrText xml:space="preserve"> PAGEREF _Toc26911 \h </w:instrText>
      </w:r>
      <w:r>
        <w:fldChar w:fldCharType="separate"/>
      </w:r>
      <w:r>
        <w:t>11</w:t>
      </w:r>
      <w:r>
        <w:fldChar w:fldCharType="end"/>
      </w:r>
      <w:r>
        <w:rPr>
          <w:bCs/>
          <w:spacing w:val="-6"/>
          <w:szCs w:val="52"/>
        </w:rPr>
        <w:fldChar w:fldCharType="end"/>
      </w:r>
    </w:p>
    <w:p w14:paraId="0C5F77D0">
      <w:pPr>
        <w:pStyle w:val="15"/>
        <w:tabs>
          <w:tab w:val="right" w:leader="dot" w:pos="9072"/>
        </w:tabs>
      </w:pPr>
      <w:r>
        <w:rPr>
          <w:bCs/>
          <w:spacing w:val="-6"/>
          <w:szCs w:val="52"/>
        </w:rPr>
        <w:fldChar w:fldCharType="begin"/>
      </w:r>
      <w:r>
        <w:rPr>
          <w:bCs/>
          <w:spacing w:val="-6"/>
          <w:szCs w:val="52"/>
        </w:rPr>
        <w:instrText xml:space="preserve"> HYPERLINK \l _Toc9384 </w:instrText>
      </w:r>
      <w:r>
        <w:rPr>
          <w:bCs/>
          <w:spacing w:val="-6"/>
          <w:szCs w:val="52"/>
        </w:rPr>
        <w:fldChar w:fldCharType="separate"/>
      </w:r>
      <w:r>
        <w:rPr>
          <w:rFonts w:hint="eastAsia" w:ascii="宋体" w:hAnsi="宋体" w:cs="宋体"/>
          <w:bCs/>
          <w:szCs w:val="28"/>
        </w:rPr>
        <w:t>（一）赛场预案</w:t>
      </w:r>
      <w:r>
        <w:tab/>
      </w:r>
      <w:r>
        <w:fldChar w:fldCharType="begin"/>
      </w:r>
      <w:r>
        <w:instrText xml:space="preserve"> PAGEREF _Toc9384 \h </w:instrText>
      </w:r>
      <w:r>
        <w:fldChar w:fldCharType="separate"/>
      </w:r>
      <w:r>
        <w:t>12</w:t>
      </w:r>
      <w:r>
        <w:fldChar w:fldCharType="end"/>
      </w:r>
      <w:r>
        <w:rPr>
          <w:bCs/>
          <w:spacing w:val="-6"/>
          <w:szCs w:val="52"/>
        </w:rPr>
        <w:fldChar w:fldCharType="end"/>
      </w:r>
    </w:p>
    <w:p w14:paraId="61C13431">
      <w:pPr>
        <w:pStyle w:val="15"/>
        <w:tabs>
          <w:tab w:val="right" w:leader="dot" w:pos="9072"/>
        </w:tabs>
      </w:pPr>
      <w:r>
        <w:rPr>
          <w:bCs/>
          <w:spacing w:val="-6"/>
          <w:szCs w:val="52"/>
        </w:rPr>
        <w:fldChar w:fldCharType="begin"/>
      </w:r>
      <w:r>
        <w:rPr>
          <w:bCs/>
          <w:spacing w:val="-6"/>
          <w:szCs w:val="52"/>
        </w:rPr>
        <w:instrText xml:space="preserve"> HYPERLINK \l _Toc14386 </w:instrText>
      </w:r>
      <w:r>
        <w:rPr>
          <w:bCs/>
          <w:spacing w:val="-6"/>
          <w:szCs w:val="52"/>
        </w:rPr>
        <w:fldChar w:fldCharType="separate"/>
      </w:r>
      <w:r>
        <w:rPr>
          <w:rFonts w:hint="eastAsia" w:ascii="宋体" w:hAnsi="宋体" w:cs="宋体"/>
          <w:bCs/>
          <w:szCs w:val="28"/>
        </w:rPr>
        <w:t>（二） 赛项安全</w:t>
      </w:r>
      <w:r>
        <w:tab/>
      </w:r>
      <w:r>
        <w:fldChar w:fldCharType="begin"/>
      </w:r>
      <w:r>
        <w:instrText xml:space="preserve"> PAGEREF _Toc14386 \h </w:instrText>
      </w:r>
      <w:r>
        <w:fldChar w:fldCharType="separate"/>
      </w:r>
      <w:r>
        <w:t>12</w:t>
      </w:r>
      <w:r>
        <w:fldChar w:fldCharType="end"/>
      </w:r>
      <w:r>
        <w:rPr>
          <w:bCs/>
          <w:spacing w:val="-6"/>
          <w:szCs w:val="52"/>
        </w:rPr>
        <w:fldChar w:fldCharType="end"/>
      </w:r>
    </w:p>
    <w:p w14:paraId="441B9D7B">
      <w:pPr>
        <w:pStyle w:val="15"/>
        <w:tabs>
          <w:tab w:val="right" w:leader="dot" w:pos="9072"/>
        </w:tabs>
      </w:pPr>
      <w:r>
        <w:rPr>
          <w:bCs/>
          <w:spacing w:val="-6"/>
          <w:szCs w:val="52"/>
        </w:rPr>
        <w:fldChar w:fldCharType="begin"/>
      </w:r>
      <w:r>
        <w:rPr>
          <w:bCs/>
          <w:spacing w:val="-6"/>
          <w:szCs w:val="52"/>
        </w:rPr>
        <w:instrText xml:space="preserve"> HYPERLINK \l _Toc14485 </w:instrText>
      </w:r>
      <w:r>
        <w:rPr>
          <w:bCs/>
          <w:spacing w:val="-6"/>
          <w:szCs w:val="52"/>
        </w:rPr>
        <w:fldChar w:fldCharType="separate"/>
      </w:r>
      <w:r>
        <w:rPr>
          <w:rFonts w:hint="eastAsia" w:ascii="宋体" w:hAnsi="宋体" w:cs="宋体"/>
          <w:bCs/>
          <w:szCs w:val="28"/>
        </w:rPr>
        <w:t>（三）绿色环保要求</w:t>
      </w:r>
      <w:r>
        <w:tab/>
      </w:r>
      <w:r>
        <w:fldChar w:fldCharType="begin"/>
      </w:r>
      <w:r>
        <w:instrText xml:space="preserve"> PAGEREF _Toc14485 \h </w:instrText>
      </w:r>
      <w:r>
        <w:fldChar w:fldCharType="separate"/>
      </w:r>
      <w:r>
        <w:t>13</w:t>
      </w:r>
      <w:r>
        <w:fldChar w:fldCharType="end"/>
      </w:r>
      <w:r>
        <w:rPr>
          <w:bCs/>
          <w:spacing w:val="-6"/>
          <w:szCs w:val="52"/>
        </w:rPr>
        <w:fldChar w:fldCharType="end"/>
      </w:r>
    </w:p>
    <w:p w14:paraId="74C66616">
      <w:pPr>
        <w:pStyle w:val="17"/>
        <w:adjustRightInd w:val="0"/>
        <w:snapToGrid w:val="0"/>
        <w:ind w:left="0" w:firstLine="816" w:firstLineChars="200"/>
        <w:rPr>
          <w:bCs/>
          <w:spacing w:val="-6"/>
          <w:szCs w:val="52"/>
        </w:rPr>
      </w:pPr>
      <w:r>
        <w:rPr>
          <w:bCs/>
          <w:spacing w:val="-6"/>
          <w:szCs w:val="52"/>
        </w:rPr>
        <w:fldChar w:fldCharType="end"/>
      </w:r>
      <w:bookmarkStart w:id="0" w:name="_Toc17496_WPSOffice_Level2"/>
      <w:bookmarkStart w:id="1" w:name="_Toc17666"/>
      <w:bookmarkStart w:id="2" w:name="_Toc23410"/>
      <w:bookmarkStart w:id="3" w:name="_Toc29745_WPSOffice_Level2"/>
      <w:bookmarkStart w:id="4" w:name="_Toc31991_WPSOffice_Level2"/>
      <w:bookmarkStart w:id="5" w:name="_Toc31946"/>
    </w:p>
    <w:p w14:paraId="55C7AA59">
      <w:pPr>
        <w:pStyle w:val="17"/>
        <w:tabs>
          <w:tab w:val="left" w:pos="799"/>
        </w:tabs>
        <w:adjustRightInd w:val="0"/>
        <w:snapToGrid w:val="0"/>
        <w:ind w:left="0" w:firstLine="1100" w:firstLineChars="200"/>
        <w:rPr>
          <w:rFonts w:ascii="黑体" w:hAnsi="黑体" w:eastAsia="黑体" w:cs="黑体"/>
          <w:b/>
          <w:bCs/>
          <w:color w:val="FF0000"/>
          <w:spacing w:val="-6"/>
          <w:sz w:val="56"/>
          <w:szCs w:val="144"/>
          <w:lang w:val="en-US"/>
        </w:rPr>
      </w:pPr>
    </w:p>
    <w:p w14:paraId="7C367A87">
      <w:pPr>
        <w:pStyle w:val="17"/>
        <w:adjustRightInd w:val="0"/>
        <w:snapToGrid w:val="0"/>
        <w:ind w:left="0" w:firstLine="456" w:firstLineChars="200"/>
        <w:rPr>
          <w:spacing w:val="-6"/>
          <w:sz w:val="24"/>
        </w:rPr>
        <w:sectPr>
          <w:headerReference r:id="rId9" w:type="first"/>
          <w:footerReference r:id="rId10" w:type="default"/>
          <w:pgSz w:w="11906" w:h="16838"/>
          <w:pgMar w:top="1440" w:right="1417" w:bottom="1440" w:left="1417" w:header="851" w:footer="992" w:gutter="0"/>
          <w:pgNumType w:start="1"/>
          <w:cols w:space="425" w:num="1"/>
          <w:docGrid w:type="lines" w:linePitch="312" w:charSpace="0"/>
        </w:sectPr>
      </w:pPr>
      <w:r>
        <w:rPr>
          <w:rFonts w:hint="eastAsia"/>
          <w:spacing w:val="-6"/>
          <w:sz w:val="24"/>
        </w:rPr>
        <w:br w:type="page"/>
      </w:r>
    </w:p>
    <w:p w14:paraId="07AAF02E">
      <w:pPr>
        <w:pStyle w:val="17"/>
        <w:adjustRightInd w:val="0"/>
        <w:snapToGrid w:val="0"/>
        <w:ind w:left="0" w:firstLine="456" w:firstLineChars="200"/>
        <w:rPr>
          <w:spacing w:val="-6"/>
          <w:sz w:val="24"/>
        </w:rPr>
      </w:pPr>
    </w:p>
    <w:p w14:paraId="5B0A25FF">
      <w:pPr>
        <w:adjustRightInd w:val="0"/>
        <w:outlineLvl w:val="0"/>
        <w:rPr>
          <w:b/>
          <w:bCs/>
          <w:spacing w:val="-6"/>
          <w:sz w:val="32"/>
          <w:szCs w:val="32"/>
        </w:rPr>
      </w:pPr>
      <w:bookmarkStart w:id="6" w:name="_Toc51325918"/>
      <w:bookmarkStart w:id="7" w:name="_Toc240"/>
      <w:r>
        <w:rPr>
          <w:rFonts w:hint="eastAsia"/>
          <w:b/>
          <w:bCs/>
          <w:spacing w:val="-6"/>
          <w:sz w:val="32"/>
          <w:szCs w:val="32"/>
        </w:rPr>
        <w:t>一、技术描述</w:t>
      </w:r>
      <w:bookmarkEnd w:id="6"/>
      <w:bookmarkEnd w:id="7"/>
    </w:p>
    <w:p w14:paraId="7AC6C1C8">
      <w:pPr>
        <w:adjustRightInd w:val="0"/>
        <w:ind w:firstLine="538" w:firstLineChars="200"/>
        <w:outlineLvl w:val="1"/>
        <w:rPr>
          <w:b/>
          <w:bCs/>
          <w:spacing w:val="-6"/>
          <w:sz w:val="28"/>
          <w:szCs w:val="28"/>
        </w:rPr>
      </w:pPr>
      <w:bookmarkStart w:id="8" w:name="_Toc51325919"/>
      <w:bookmarkStart w:id="9" w:name="_Toc18823"/>
      <w:r>
        <w:rPr>
          <w:rFonts w:hint="eastAsia"/>
          <w:b/>
          <w:bCs/>
          <w:spacing w:val="-6"/>
          <w:sz w:val="28"/>
          <w:szCs w:val="28"/>
        </w:rPr>
        <w:t>（一）项目概要</w:t>
      </w:r>
      <w:bookmarkEnd w:id="8"/>
      <w:bookmarkEnd w:id="9"/>
    </w:p>
    <w:p w14:paraId="05F6FB38">
      <w:pPr>
        <w:adjustRightInd w:val="0"/>
        <w:ind w:firstLine="404" w:firstLineChars="200"/>
        <w:rPr>
          <w:rFonts w:ascii="宋体" w:hAnsi="宋体" w:cs="宋体"/>
          <w:spacing w:val="-4"/>
          <w:szCs w:val="21"/>
        </w:rPr>
      </w:pPr>
      <w:r>
        <w:rPr>
          <w:rFonts w:hint="eastAsia" w:ascii="宋体" w:hAnsi="宋体" w:cs="宋体"/>
          <w:spacing w:val="-4"/>
          <w:szCs w:val="21"/>
        </w:rPr>
        <w:t>国家在《新能源汽车产业发展规划（2021-2035）》中明确提出电动化、网联化、智能化已成为汽车产业发展潮流和趋势，坚持电动化、网联化、智能化发展方向，深入实施发展新能源汽车是国家战略</w:t>
      </w:r>
      <w:r>
        <w:rPr>
          <w:rFonts w:ascii="宋体" w:hAnsi="宋体" w:cs="宋体"/>
          <w:spacing w:val="-4"/>
          <w:szCs w:val="21"/>
        </w:rPr>
        <w:t>。本赛项主</w:t>
      </w:r>
      <w:r>
        <w:rPr>
          <w:rFonts w:hint="eastAsia" w:ascii="宋体" w:hAnsi="宋体" w:cs="宋体"/>
          <w:spacing w:val="-4"/>
          <w:szCs w:val="21"/>
        </w:rPr>
        <w:t>要就是</w:t>
      </w:r>
      <w:r>
        <w:rPr>
          <w:rFonts w:ascii="宋体" w:hAnsi="宋体" w:cs="宋体"/>
          <w:spacing w:val="-4"/>
          <w:szCs w:val="21"/>
        </w:rPr>
        <w:t>服务于新能源智能汽车产业领域的产业发展和人才培养，推动汽车与相关产业人才的交流融合，打造具备相关行业技能的高级技术人才和复合型智能网联汽车专业人才。赛项基于新能源汽车智能化应用技术赛项竞赛平台，对接新能源汽车企业先进技术和行业标准，以充分体现新能源汽车智能化关键应用技术为原则，以培养智能网联汽车测试安全员、汽车智能化和网联化改装员、智能网联汽车研发助理人员等技术技能人才为目标。旨在提升对智能网联汽车设计、制造、应用和服务能力，引领对相关专业人才培养，实现以赛促教、以赛促训，提高人才培养质量。</w:t>
      </w:r>
    </w:p>
    <w:p w14:paraId="4BD8D3A6">
      <w:pPr>
        <w:adjustRightInd w:val="0"/>
        <w:ind w:firstLine="404" w:firstLineChars="200"/>
        <w:rPr>
          <w:rFonts w:ascii="宋体" w:hAnsi="宋体" w:cs="宋体"/>
          <w:color w:val="000000" w:themeColor="text1"/>
          <w:spacing w:val="-6"/>
          <w:kern w:val="1"/>
          <w:szCs w:val="21"/>
          <w14:textFill>
            <w14:solidFill>
              <w14:schemeClr w14:val="tx1"/>
            </w14:solidFill>
          </w14:textFill>
        </w:rPr>
      </w:pPr>
      <w:r>
        <w:rPr>
          <w:rFonts w:ascii="宋体" w:hAnsi="宋体" w:cs="宋体"/>
          <w:spacing w:val="-4"/>
          <w:szCs w:val="21"/>
        </w:rPr>
        <w:t>本赛项强调智能网联汽车智能装备安装调试、功能测试和故障排除等应用实践能力，要求参赛选手针对竞赛场景任务要求，完成智能网联汽车平台的装调排故、仿真平台校验</w:t>
      </w:r>
      <w:r>
        <w:rPr>
          <w:rFonts w:hint="eastAsia" w:ascii="宋体" w:hAnsi="宋体" w:cs="宋体"/>
          <w:spacing w:val="-4"/>
          <w:szCs w:val="21"/>
          <w:lang w:val="en-US" w:eastAsia="zh-CN"/>
        </w:rPr>
        <w:t>及</w:t>
      </w:r>
      <w:r>
        <w:rPr>
          <w:rFonts w:ascii="宋体" w:hAnsi="宋体" w:cs="宋体"/>
          <w:spacing w:val="-4"/>
          <w:szCs w:val="21"/>
        </w:rPr>
        <w:t>综合道路测试</w:t>
      </w:r>
      <w:r>
        <w:rPr>
          <w:rFonts w:hint="eastAsia" w:ascii="宋体" w:hAnsi="宋体" w:cs="宋体"/>
          <w:spacing w:val="-4"/>
          <w:szCs w:val="21"/>
          <w:lang w:eastAsia="zh-CN"/>
        </w:rPr>
        <w:t>，</w:t>
      </w:r>
      <w:r>
        <w:rPr>
          <w:rFonts w:ascii="宋体" w:hAnsi="宋体" w:cs="宋体"/>
          <w:spacing w:val="-4"/>
          <w:szCs w:val="21"/>
        </w:rPr>
        <w:t>在</w:t>
      </w:r>
      <w:r>
        <w:rPr>
          <w:rFonts w:hint="eastAsia" w:ascii="宋体" w:hAnsi="宋体" w:cs="宋体"/>
          <w:spacing w:val="-4"/>
          <w:szCs w:val="21"/>
          <w:lang w:val="en-US" w:eastAsia="zh-CN"/>
        </w:rPr>
        <w:t>此</w:t>
      </w:r>
      <w:r>
        <w:rPr>
          <w:rFonts w:ascii="宋体" w:hAnsi="宋体" w:cs="宋体"/>
          <w:spacing w:val="-4"/>
          <w:szCs w:val="21"/>
        </w:rPr>
        <w:t>基础上选手需要根据任务需求对智能网联汽车平台进行合理、高效的系统调试</w:t>
      </w:r>
      <w:r>
        <w:rPr>
          <w:rFonts w:hint="eastAsia" w:ascii="宋体" w:hAnsi="宋体" w:cs="宋体"/>
          <w:spacing w:val="-4"/>
          <w:szCs w:val="21"/>
          <w:lang w:eastAsia="zh-CN"/>
        </w:rPr>
        <w:t>，</w:t>
      </w:r>
      <w:r>
        <w:rPr>
          <w:rFonts w:ascii="宋体" w:hAnsi="宋体" w:cs="宋体"/>
          <w:spacing w:val="-4"/>
          <w:szCs w:val="21"/>
        </w:rPr>
        <w:t>旨在充分考查选手对新能源汽车智能化应用关键技术和实际操作技能的掌握，包括“感知、决策和控制”智能化技术和电动汽车线控底盘技术。</w:t>
      </w:r>
    </w:p>
    <w:p w14:paraId="024DF422">
      <w:pPr>
        <w:adjustRightInd w:val="0"/>
        <w:ind w:firstLine="538" w:firstLineChars="200"/>
        <w:outlineLvl w:val="1"/>
        <w:rPr>
          <w:b/>
          <w:bCs/>
          <w:spacing w:val="-6"/>
          <w:sz w:val="28"/>
          <w:szCs w:val="28"/>
        </w:rPr>
      </w:pPr>
      <w:bookmarkStart w:id="10" w:name="_Toc481313999"/>
      <w:bookmarkEnd w:id="10"/>
      <w:bookmarkStart w:id="11" w:name="_Toc12295"/>
      <w:bookmarkStart w:id="12" w:name="_Toc51325920"/>
      <w:r>
        <w:rPr>
          <w:rFonts w:hint="eastAsia"/>
          <w:b/>
          <w:bCs/>
          <w:spacing w:val="-6"/>
          <w:sz w:val="28"/>
          <w:szCs w:val="28"/>
        </w:rPr>
        <w:t>（二）基本知识与能力要求</w:t>
      </w:r>
      <w:bookmarkEnd w:id="11"/>
    </w:p>
    <w:bookmarkEnd w:id="12"/>
    <w:p w14:paraId="2E0369AB">
      <w:pPr>
        <w:autoSpaceDE w:val="0"/>
        <w:autoSpaceDN w:val="0"/>
        <w:adjustRightInd w:val="0"/>
        <w:ind w:firstLine="420" w:firstLineChars="200"/>
        <w:textAlignment w:val="baseline"/>
        <w:rPr>
          <w:rFonts w:ascii="宋体" w:hAnsi="宋体" w:cs="宋体"/>
          <w:szCs w:val="21"/>
        </w:rPr>
      </w:pPr>
      <w:bookmarkStart w:id="13" w:name="_Toc481314000"/>
      <w:bookmarkEnd w:id="13"/>
      <w:bookmarkStart w:id="14" w:name="_Toc51325921"/>
      <w:r>
        <w:rPr>
          <w:rFonts w:hint="eastAsia" w:ascii="宋体" w:hAnsi="宋体" w:cs="宋体"/>
          <w:szCs w:val="21"/>
        </w:rPr>
        <w:t>完成本赛项的考核，参赛选手需要具备新能源汽车智能化技术相关基础知识与技能，见表1：</w:t>
      </w:r>
    </w:p>
    <w:p w14:paraId="68D1E1E3">
      <w:pPr>
        <w:autoSpaceDE w:val="0"/>
        <w:autoSpaceDN w:val="0"/>
        <w:adjustRightInd w:val="0"/>
        <w:ind w:firstLine="420" w:firstLineChars="200"/>
        <w:jc w:val="center"/>
        <w:textAlignment w:val="baseline"/>
        <w:rPr>
          <w:rFonts w:ascii="宋体" w:hAnsi="宋体" w:cs="宋体"/>
          <w:szCs w:val="21"/>
        </w:rPr>
      </w:pPr>
      <w:r>
        <w:rPr>
          <w:rFonts w:hint="eastAsia" w:ascii="宋体" w:hAnsi="宋体" w:cs="宋体"/>
          <w:szCs w:val="21"/>
        </w:rPr>
        <w:t>表1  选手基本知识与能力要求表</w:t>
      </w:r>
    </w:p>
    <w:tbl>
      <w:tblPr>
        <w:tblStyle w:val="18"/>
        <w:tblW w:w="49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7436"/>
        <w:gridCol w:w="924"/>
      </w:tblGrid>
      <w:tr w14:paraId="2AB7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4494" w:type="pct"/>
            <w:gridSpan w:val="2"/>
            <w:tcBorders>
              <w:top w:val="single" w:color="auto" w:sz="4" w:space="0"/>
              <w:left w:val="single" w:color="auto" w:sz="4" w:space="0"/>
              <w:bottom w:val="single" w:color="auto" w:sz="4" w:space="0"/>
              <w:right w:val="single" w:color="auto" w:sz="4" w:space="0"/>
            </w:tcBorders>
            <w:vAlign w:val="center"/>
          </w:tcPr>
          <w:p w14:paraId="14F6413D">
            <w:pPr>
              <w:autoSpaceDE w:val="0"/>
              <w:autoSpaceDN w:val="0"/>
              <w:adjustRightInd w:val="0"/>
              <w:jc w:val="center"/>
              <w:textAlignment w:val="baseline"/>
              <w:rPr>
                <w:rFonts w:ascii="宋体" w:hAnsi="宋体" w:cs="宋体"/>
                <w:b/>
                <w:bCs/>
                <w:szCs w:val="21"/>
              </w:rPr>
            </w:pPr>
            <w:r>
              <w:rPr>
                <w:rFonts w:ascii="宋体" w:hAnsi="宋体" w:cs="宋体"/>
                <w:b/>
                <w:bCs/>
                <w:szCs w:val="21"/>
              </w:rPr>
              <w:t>相关要求</w:t>
            </w:r>
          </w:p>
        </w:tc>
        <w:tc>
          <w:tcPr>
            <w:tcW w:w="505" w:type="pct"/>
            <w:tcBorders>
              <w:top w:val="single" w:color="auto" w:sz="4" w:space="0"/>
              <w:left w:val="single" w:color="auto" w:sz="4" w:space="0"/>
              <w:bottom w:val="single" w:color="auto" w:sz="4" w:space="0"/>
              <w:right w:val="single" w:color="auto" w:sz="4" w:space="0"/>
            </w:tcBorders>
            <w:vAlign w:val="center"/>
          </w:tcPr>
          <w:p w14:paraId="4DFBD581">
            <w:pPr>
              <w:autoSpaceDE w:val="0"/>
              <w:autoSpaceDN w:val="0"/>
              <w:adjustRightInd w:val="0"/>
              <w:jc w:val="center"/>
              <w:textAlignment w:val="baseline"/>
              <w:rPr>
                <w:rFonts w:ascii="宋体" w:hAnsi="宋体" w:cs="宋体"/>
                <w:b/>
                <w:bCs/>
                <w:szCs w:val="21"/>
                <w:lang w:val="en-GB"/>
              </w:rPr>
            </w:pPr>
            <w:r>
              <w:rPr>
                <w:rFonts w:ascii="宋体" w:hAnsi="宋体" w:cs="宋体"/>
                <w:b/>
                <w:bCs/>
                <w:szCs w:val="21"/>
                <w:lang w:val="en-GB"/>
              </w:rPr>
              <w:t>权重比例 (%)</w:t>
            </w:r>
          </w:p>
        </w:tc>
      </w:tr>
      <w:tr w14:paraId="29F3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14:paraId="4B3D2517">
            <w:pPr>
              <w:autoSpaceDE w:val="0"/>
              <w:autoSpaceDN w:val="0"/>
              <w:adjustRightInd w:val="0"/>
              <w:jc w:val="center"/>
              <w:textAlignment w:val="baseline"/>
              <w:rPr>
                <w:rFonts w:ascii="宋体" w:hAnsi="宋体" w:cs="宋体"/>
                <w:b/>
                <w:bCs/>
                <w:szCs w:val="21"/>
              </w:rPr>
            </w:pPr>
            <w:r>
              <w:rPr>
                <w:rFonts w:ascii="宋体" w:hAnsi="宋体" w:cs="宋体"/>
                <w:b/>
                <w:bCs/>
                <w:szCs w:val="21"/>
              </w:rPr>
              <w:t>1</w:t>
            </w:r>
          </w:p>
        </w:tc>
        <w:tc>
          <w:tcPr>
            <w:tcW w:w="4061" w:type="pct"/>
            <w:tcBorders>
              <w:top w:val="single" w:color="auto" w:sz="4" w:space="0"/>
              <w:left w:val="single" w:color="auto" w:sz="4" w:space="0"/>
              <w:bottom w:val="single" w:color="auto" w:sz="4" w:space="0"/>
              <w:right w:val="single" w:color="auto" w:sz="4" w:space="0"/>
            </w:tcBorders>
            <w:vAlign w:val="center"/>
          </w:tcPr>
          <w:p w14:paraId="0ABFBB32">
            <w:pPr>
              <w:autoSpaceDE w:val="0"/>
              <w:autoSpaceDN w:val="0"/>
              <w:adjustRightInd w:val="0"/>
              <w:jc w:val="center"/>
              <w:textAlignment w:val="baseline"/>
              <w:rPr>
                <w:rFonts w:ascii="宋体" w:hAnsi="宋体" w:cs="宋体"/>
                <w:b/>
                <w:bCs/>
                <w:szCs w:val="21"/>
              </w:rPr>
            </w:pPr>
            <w:r>
              <w:rPr>
                <w:rFonts w:ascii="宋体" w:hAnsi="宋体" w:cs="宋体"/>
                <w:b/>
                <w:bCs/>
                <w:szCs w:val="21"/>
              </w:rPr>
              <w:t>智能网联汽车安装调试规范</w:t>
            </w:r>
          </w:p>
        </w:tc>
        <w:tc>
          <w:tcPr>
            <w:tcW w:w="505" w:type="pct"/>
            <w:vMerge w:val="restart"/>
            <w:tcBorders>
              <w:top w:val="single" w:color="auto" w:sz="4" w:space="0"/>
              <w:left w:val="single" w:color="auto" w:sz="4" w:space="0"/>
              <w:bottom w:val="single" w:color="auto" w:sz="4" w:space="0"/>
              <w:right w:val="single" w:color="auto" w:sz="4" w:space="0"/>
            </w:tcBorders>
            <w:vAlign w:val="center"/>
          </w:tcPr>
          <w:p w14:paraId="07E9A209">
            <w:pPr>
              <w:autoSpaceDE w:val="0"/>
              <w:autoSpaceDN w:val="0"/>
              <w:adjustRightInd w:val="0"/>
              <w:jc w:val="center"/>
              <w:textAlignment w:val="baseline"/>
              <w:rPr>
                <w:rFonts w:ascii="宋体" w:hAnsi="宋体" w:cs="宋体"/>
                <w:szCs w:val="21"/>
              </w:rPr>
            </w:pPr>
            <w:r>
              <w:rPr>
                <w:rFonts w:hint="eastAsia" w:ascii="宋体" w:hAnsi="宋体" w:cs="宋体"/>
                <w:szCs w:val="21"/>
              </w:rPr>
              <w:t>30</w:t>
            </w:r>
          </w:p>
        </w:tc>
      </w:tr>
      <w:tr w14:paraId="3D7B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14:paraId="49651E3B">
            <w:pPr>
              <w:autoSpaceDE w:val="0"/>
              <w:autoSpaceDN w:val="0"/>
              <w:adjustRightInd w:val="0"/>
              <w:jc w:val="center"/>
              <w:textAlignment w:val="baseline"/>
              <w:rPr>
                <w:rFonts w:ascii="宋体" w:hAnsi="宋体" w:cs="宋体"/>
                <w:szCs w:val="21"/>
              </w:rPr>
            </w:pPr>
            <w:r>
              <w:rPr>
                <w:rFonts w:ascii="宋体" w:hAnsi="宋体" w:cs="宋体"/>
                <w:szCs w:val="21"/>
              </w:rPr>
              <w:t>基本知识</w:t>
            </w:r>
          </w:p>
        </w:tc>
        <w:tc>
          <w:tcPr>
            <w:tcW w:w="4061" w:type="pct"/>
            <w:tcBorders>
              <w:top w:val="single" w:color="auto" w:sz="4" w:space="0"/>
              <w:left w:val="single" w:color="auto" w:sz="4" w:space="0"/>
              <w:bottom w:val="single" w:color="auto" w:sz="4" w:space="0"/>
              <w:right w:val="single" w:color="auto" w:sz="4" w:space="0"/>
            </w:tcBorders>
            <w:vAlign w:val="center"/>
          </w:tcPr>
          <w:p w14:paraId="7E73B0D4">
            <w:pPr>
              <w:autoSpaceDE w:val="0"/>
              <w:autoSpaceDN w:val="0"/>
              <w:adjustRightInd w:val="0"/>
              <w:jc w:val="left"/>
              <w:textAlignment w:val="baseline"/>
              <w:rPr>
                <w:rFonts w:ascii="宋体" w:hAnsi="宋体" w:cs="宋体"/>
                <w:szCs w:val="21"/>
              </w:rPr>
            </w:pPr>
            <w:r>
              <w:rPr>
                <w:rFonts w:ascii="宋体" w:hAnsi="宋体" w:cs="宋体"/>
                <w:szCs w:val="21"/>
              </w:rPr>
              <w:t>-掌握智能网联设备安装调试操作规范。</w:t>
            </w:r>
          </w:p>
          <w:p w14:paraId="117C22BD">
            <w:pPr>
              <w:autoSpaceDE w:val="0"/>
              <w:autoSpaceDN w:val="0"/>
              <w:adjustRightInd w:val="0"/>
              <w:jc w:val="left"/>
              <w:textAlignment w:val="baseline"/>
              <w:rPr>
                <w:rFonts w:ascii="宋体" w:hAnsi="宋体" w:cs="宋体"/>
                <w:szCs w:val="21"/>
              </w:rPr>
            </w:pPr>
            <w:r>
              <w:rPr>
                <w:rFonts w:ascii="宋体" w:hAnsi="宋体" w:cs="宋体"/>
                <w:szCs w:val="21"/>
              </w:rPr>
              <w:t>-掌握诊断设备与检测仪器的使用规范和维护方法。</w:t>
            </w:r>
          </w:p>
          <w:p w14:paraId="599BCDD6">
            <w:pPr>
              <w:autoSpaceDE w:val="0"/>
              <w:autoSpaceDN w:val="0"/>
              <w:adjustRightInd w:val="0"/>
              <w:jc w:val="left"/>
              <w:textAlignment w:val="baseline"/>
              <w:rPr>
                <w:rFonts w:ascii="宋体" w:hAnsi="宋体" w:cs="宋体"/>
                <w:szCs w:val="21"/>
              </w:rPr>
            </w:pPr>
            <w:r>
              <w:rPr>
                <w:rFonts w:ascii="宋体" w:hAnsi="宋体" w:cs="宋体"/>
                <w:szCs w:val="21"/>
              </w:rPr>
              <w:t>-掌握安全防护用具的使用规范、维修资料使用方法等。</w:t>
            </w:r>
          </w:p>
        </w:tc>
        <w:tc>
          <w:tcPr>
            <w:tcW w:w="505" w:type="pct"/>
            <w:vMerge w:val="continue"/>
            <w:tcBorders>
              <w:top w:val="single" w:color="auto" w:sz="4" w:space="0"/>
              <w:left w:val="single" w:color="auto" w:sz="4" w:space="0"/>
              <w:bottom w:val="single" w:color="auto" w:sz="4" w:space="0"/>
              <w:right w:val="single" w:color="auto" w:sz="4" w:space="0"/>
            </w:tcBorders>
            <w:vAlign w:val="center"/>
          </w:tcPr>
          <w:p w14:paraId="49694AC8">
            <w:pPr>
              <w:autoSpaceDE w:val="0"/>
              <w:autoSpaceDN w:val="0"/>
              <w:adjustRightInd w:val="0"/>
              <w:jc w:val="center"/>
              <w:textAlignment w:val="baseline"/>
              <w:rPr>
                <w:rFonts w:ascii="宋体" w:hAnsi="宋体" w:cs="宋体"/>
                <w:szCs w:val="21"/>
                <w:lang w:val="en-GB"/>
              </w:rPr>
            </w:pPr>
          </w:p>
        </w:tc>
      </w:tr>
      <w:tr w14:paraId="0C04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 w:type="pct"/>
            <w:tcBorders>
              <w:top w:val="single" w:color="auto" w:sz="4" w:space="0"/>
              <w:left w:val="single" w:color="auto" w:sz="4" w:space="0"/>
              <w:bottom w:val="single" w:color="auto" w:sz="4" w:space="0"/>
              <w:right w:val="single" w:color="auto" w:sz="4" w:space="0"/>
            </w:tcBorders>
            <w:vAlign w:val="center"/>
          </w:tcPr>
          <w:p w14:paraId="685C51C7">
            <w:pPr>
              <w:autoSpaceDE w:val="0"/>
              <w:autoSpaceDN w:val="0"/>
              <w:adjustRightInd w:val="0"/>
              <w:jc w:val="center"/>
              <w:textAlignment w:val="baseline"/>
              <w:rPr>
                <w:rFonts w:ascii="宋体" w:hAnsi="宋体" w:cs="宋体"/>
                <w:szCs w:val="21"/>
              </w:rPr>
            </w:pPr>
            <w:r>
              <w:rPr>
                <w:rFonts w:ascii="宋体" w:hAnsi="宋体" w:cs="宋体"/>
                <w:szCs w:val="21"/>
              </w:rPr>
              <w:t>工作能力</w:t>
            </w:r>
          </w:p>
        </w:tc>
        <w:tc>
          <w:tcPr>
            <w:tcW w:w="4061" w:type="pct"/>
            <w:tcBorders>
              <w:top w:val="single" w:color="auto" w:sz="4" w:space="0"/>
              <w:left w:val="single" w:color="auto" w:sz="4" w:space="0"/>
              <w:bottom w:val="single" w:color="auto" w:sz="4" w:space="0"/>
              <w:right w:val="single" w:color="auto" w:sz="4" w:space="0"/>
            </w:tcBorders>
            <w:vAlign w:val="center"/>
          </w:tcPr>
          <w:p w14:paraId="3FB167C1">
            <w:pPr>
              <w:autoSpaceDE w:val="0"/>
              <w:autoSpaceDN w:val="0"/>
              <w:adjustRightInd w:val="0"/>
              <w:jc w:val="left"/>
              <w:textAlignment w:val="baseline"/>
              <w:rPr>
                <w:rFonts w:ascii="宋体" w:hAnsi="宋体" w:cs="宋体"/>
                <w:szCs w:val="21"/>
              </w:rPr>
            </w:pPr>
            <w:r>
              <w:rPr>
                <w:rFonts w:ascii="宋体" w:hAnsi="宋体" w:cs="宋体"/>
                <w:szCs w:val="21"/>
              </w:rPr>
              <w:t>-能够按照智能网联汽车的安装调试安全操作规范进行工作，熟悉车辆电气系统和网络架构，能够正确连接和布线。</w:t>
            </w:r>
          </w:p>
          <w:p w14:paraId="29AA0C18">
            <w:pPr>
              <w:autoSpaceDE w:val="0"/>
              <w:autoSpaceDN w:val="0"/>
              <w:adjustRightInd w:val="0"/>
              <w:jc w:val="left"/>
              <w:textAlignment w:val="baseline"/>
              <w:rPr>
                <w:rFonts w:ascii="宋体" w:hAnsi="宋体" w:cs="宋体"/>
                <w:szCs w:val="21"/>
              </w:rPr>
            </w:pPr>
            <w:r>
              <w:rPr>
                <w:rFonts w:ascii="宋体" w:hAnsi="宋体" w:cs="宋体"/>
                <w:szCs w:val="21"/>
              </w:rPr>
              <w:t>-能够掌握诊断设备和检测仪器的使用规范的能力。</w:t>
            </w:r>
          </w:p>
          <w:p w14:paraId="0AA1E178">
            <w:pPr>
              <w:autoSpaceDE w:val="0"/>
              <w:autoSpaceDN w:val="0"/>
              <w:adjustRightInd w:val="0"/>
              <w:jc w:val="left"/>
              <w:textAlignment w:val="baseline"/>
              <w:rPr>
                <w:rFonts w:ascii="宋体" w:hAnsi="宋体" w:cs="宋体"/>
                <w:szCs w:val="21"/>
              </w:rPr>
            </w:pPr>
            <w:r>
              <w:rPr>
                <w:rFonts w:ascii="宋体" w:hAnsi="宋体" w:cs="宋体"/>
                <w:szCs w:val="21"/>
              </w:rPr>
              <w:t>-能够理解并遵守相关安全操作规范，保障工作安全并避免潜在危险，熟悉智能网联汽车安全防护用具的使用规范，并正确使用个人防护装备的意识和实践的能力。</w:t>
            </w:r>
          </w:p>
          <w:p w14:paraId="50333AE2">
            <w:pPr>
              <w:autoSpaceDE w:val="0"/>
              <w:autoSpaceDN w:val="0"/>
              <w:adjustRightInd w:val="0"/>
              <w:jc w:val="left"/>
              <w:textAlignment w:val="baseline"/>
              <w:rPr>
                <w:rFonts w:ascii="宋体" w:hAnsi="宋体" w:cs="宋体"/>
                <w:szCs w:val="21"/>
              </w:rPr>
            </w:pPr>
            <w:r>
              <w:rPr>
                <w:rFonts w:ascii="宋体" w:hAnsi="宋体" w:cs="宋体"/>
                <w:szCs w:val="21"/>
              </w:rPr>
              <w:t>-具备使用相关工具进行车辆故障诊断和数据采集，并运用故障码读取和分析工具，快速准确地定位和解决问题的能力。</w:t>
            </w:r>
          </w:p>
        </w:tc>
        <w:tc>
          <w:tcPr>
            <w:tcW w:w="505" w:type="pct"/>
            <w:vMerge w:val="continue"/>
            <w:tcBorders>
              <w:top w:val="single" w:color="auto" w:sz="4" w:space="0"/>
              <w:left w:val="single" w:color="auto" w:sz="4" w:space="0"/>
              <w:bottom w:val="single" w:color="auto" w:sz="4" w:space="0"/>
              <w:right w:val="single" w:color="auto" w:sz="4" w:space="0"/>
            </w:tcBorders>
            <w:vAlign w:val="center"/>
          </w:tcPr>
          <w:p w14:paraId="7737BB8F">
            <w:pPr>
              <w:autoSpaceDE w:val="0"/>
              <w:autoSpaceDN w:val="0"/>
              <w:adjustRightInd w:val="0"/>
              <w:jc w:val="center"/>
              <w:textAlignment w:val="baseline"/>
              <w:rPr>
                <w:rFonts w:ascii="宋体" w:hAnsi="宋体" w:cs="宋体"/>
                <w:szCs w:val="21"/>
                <w:lang w:val="en-GB"/>
              </w:rPr>
            </w:pPr>
          </w:p>
        </w:tc>
      </w:tr>
      <w:tr w14:paraId="6A27F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14:paraId="42BB9A49">
            <w:pPr>
              <w:autoSpaceDE w:val="0"/>
              <w:autoSpaceDN w:val="0"/>
              <w:adjustRightInd w:val="0"/>
              <w:jc w:val="center"/>
              <w:textAlignment w:val="baseline"/>
              <w:rPr>
                <w:rFonts w:ascii="宋体" w:hAnsi="宋体" w:cs="宋体"/>
                <w:b/>
                <w:bCs/>
                <w:szCs w:val="21"/>
              </w:rPr>
            </w:pPr>
            <w:r>
              <w:rPr>
                <w:rFonts w:ascii="宋体" w:hAnsi="宋体" w:cs="宋体"/>
                <w:b/>
                <w:bCs/>
                <w:szCs w:val="21"/>
              </w:rPr>
              <w:t>2</w:t>
            </w:r>
          </w:p>
        </w:tc>
        <w:tc>
          <w:tcPr>
            <w:tcW w:w="4061" w:type="pct"/>
            <w:tcBorders>
              <w:top w:val="single" w:color="auto" w:sz="4" w:space="0"/>
              <w:left w:val="single" w:color="auto" w:sz="4" w:space="0"/>
              <w:bottom w:val="single" w:color="auto" w:sz="4" w:space="0"/>
              <w:right w:val="single" w:color="auto" w:sz="4" w:space="0"/>
            </w:tcBorders>
            <w:vAlign w:val="center"/>
          </w:tcPr>
          <w:p w14:paraId="4DC69BA6">
            <w:pPr>
              <w:autoSpaceDE w:val="0"/>
              <w:autoSpaceDN w:val="0"/>
              <w:adjustRightInd w:val="0"/>
              <w:jc w:val="center"/>
              <w:textAlignment w:val="baseline"/>
              <w:rPr>
                <w:rFonts w:ascii="宋体" w:hAnsi="宋体" w:cs="宋体"/>
                <w:b/>
                <w:bCs/>
                <w:szCs w:val="21"/>
              </w:rPr>
            </w:pPr>
            <w:r>
              <w:rPr>
                <w:rFonts w:ascii="宋体" w:hAnsi="宋体" w:cs="宋体"/>
                <w:b/>
                <w:bCs/>
                <w:szCs w:val="21"/>
              </w:rPr>
              <w:t>智能网联汽车线控底盘技术</w:t>
            </w:r>
          </w:p>
        </w:tc>
        <w:tc>
          <w:tcPr>
            <w:tcW w:w="505" w:type="pct"/>
            <w:vMerge w:val="restart"/>
            <w:tcBorders>
              <w:top w:val="single" w:color="auto" w:sz="4" w:space="0"/>
              <w:left w:val="single" w:color="auto" w:sz="4" w:space="0"/>
              <w:bottom w:val="single" w:color="auto" w:sz="4" w:space="0"/>
              <w:right w:val="single" w:color="auto" w:sz="4" w:space="0"/>
            </w:tcBorders>
            <w:vAlign w:val="center"/>
          </w:tcPr>
          <w:p w14:paraId="1BC1F9B3">
            <w:pPr>
              <w:autoSpaceDE w:val="0"/>
              <w:autoSpaceDN w:val="0"/>
              <w:adjustRightInd w:val="0"/>
              <w:jc w:val="center"/>
              <w:textAlignment w:val="baseline"/>
              <w:rPr>
                <w:rFonts w:ascii="宋体" w:hAnsi="宋体" w:cs="宋体"/>
                <w:szCs w:val="21"/>
                <w:lang w:val="en-GB"/>
              </w:rPr>
            </w:pPr>
            <w:r>
              <w:rPr>
                <w:rFonts w:ascii="宋体" w:hAnsi="宋体" w:cs="宋体"/>
                <w:szCs w:val="21"/>
                <w:lang w:val="en-GB"/>
              </w:rPr>
              <w:t>1</w:t>
            </w:r>
            <w:r>
              <w:rPr>
                <w:rFonts w:hint="eastAsia" w:ascii="宋体" w:hAnsi="宋体" w:cs="宋体"/>
                <w:szCs w:val="21"/>
              </w:rPr>
              <w:t>5</w:t>
            </w:r>
          </w:p>
        </w:tc>
      </w:tr>
      <w:tr w14:paraId="229AD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 w:type="pct"/>
            <w:tcBorders>
              <w:top w:val="single" w:color="auto" w:sz="4" w:space="0"/>
              <w:left w:val="single" w:color="auto" w:sz="4" w:space="0"/>
              <w:bottom w:val="single" w:color="auto" w:sz="4" w:space="0"/>
              <w:right w:val="single" w:color="auto" w:sz="4" w:space="0"/>
            </w:tcBorders>
            <w:vAlign w:val="center"/>
          </w:tcPr>
          <w:p w14:paraId="45C1FC97">
            <w:pPr>
              <w:autoSpaceDE w:val="0"/>
              <w:autoSpaceDN w:val="0"/>
              <w:adjustRightInd w:val="0"/>
              <w:jc w:val="center"/>
              <w:textAlignment w:val="baseline"/>
              <w:rPr>
                <w:rFonts w:ascii="宋体" w:hAnsi="宋体" w:cs="宋体"/>
                <w:szCs w:val="21"/>
              </w:rPr>
            </w:pPr>
            <w:r>
              <w:rPr>
                <w:rFonts w:ascii="宋体" w:hAnsi="宋体" w:cs="宋体"/>
                <w:szCs w:val="21"/>
              </w:rPr>
              <w:t>基本知识</w:t>
            </w:r>
          </w:p>
        </w:tc>
        <w:tc>
          <w:tcPr>
            <w:tcW w:w="4061" w:type="pct"/>
            <w:tcBorders>
              <w:top w:val="single" w:color="auto" w:sz="4" w:space="0"/>
              <w:left w:val="single" w:color="auto" w:sz="4" w:space="0"/>
              <w:bottom w:val="single" w:color="auto" w:sz="4" w:space="0"/>
              <w:right w:val="single" w:color="auto" w:sz="4" w:space="0"/>
            </w:tcBorders>
            <w:vAlign w:val="center"/>
          </w:tcPr>
          <w:p w14:paraId="7DF8F8BE">
            <w:pPr>
              <w:autoSpaceDE w:val="0"/>
              <w:autoSpaceDN w:val="0"/>
              <w:adjustRightInd w:val="0"/>
              <w:jc w:val="left"/>
              <w:textAlignment w:val="baseline"/>
              <w:rPr>
                <w:rFonts w:ascii="宋体" w:hAnsi="宋体" w:cs="宋体"/>
                <w:szCs w:val="21"/>
              </w:rPr>
            </w:pPr>
            <w:r>
              <w:rPr>
                <w:rFonts w:ascii="宋体" w:hAnsi="宋体" w:cs="宋体"/>
                <w:szCs w:val="21"/>
              </w:rPr>
              <w:t>-了解智能网联汽车线控转向技术、线控制动技术、线控驱动技术等基本原理，掌握相关装备的安装调试、使用和维护规范。</w:t>
            </w:r>
          </w:p>
        </w:tc>
        <w:tc>
          <w:tcPr>
            <w:tcW w:w="505" w:type="pct"/>
            <w:vMerge w:val="continue"/>
            <w:tcBorders>
              <w:top w:val="single" w:color="auto" w:sz="4" w:space="0"/>
              <w:left w:val="single" w:color="auto" w:sz="4" w:space="0"/>
              <w:bottom w:val="single" w:color="auto" w:sz="4" w:space="0"/>
              <w:right w:val="single" w:color="auto" w:sz="4" w:space="0"/>
            </w:tcBorders>
            <w:vAlign w:val="center"/>
          </w:tcPr>
          <w:p w14:paraId="0DE9BFAC">
            <w:pPr>
              <w:autoSpaceDE w:val="0"/>
              <w:autoSpaceDN w:val="0"/>
              <w:adjustRightInd w:val="0"/>
              <w:jc w:val="center"/>
              <w:textAlignment w:val="baseline"/>
              <w:rPr>
                <w:rFonts w:ascii="宋体" w:hAnsi="宋体" w:cs="宋体"/>
                <w:szCs w:val="21"/>
                <w:lang w:val="en-GB"/>
              </w:rPr>
            </w:pPr>
          </w:p>
        </w:tc>
      </w:tr>
      <w:tr w14:paraId="3489D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 w:type="pct"/>
            <w:tcBorders>
              <w:top w:val="single" w:color="auto" w:sz="4" w:space="0"/>
              <w:left w:val="single" w:color="auto" w:sz="4" w:space="0"/>
              <w:bottom w:val="single" w:color="auto" w:sz="4" w:space="0"/>
              <w:right w:val="single" w:color="auto" w:sz="4" w:space="0"/>
            </w:tcBorders>
            <w:vAlign w:val="center"/>
          </w:tcPr>
          <w:p w14:paraId="37ECE673">
            <w:pPr>
              <w:autoSpaceDE w:val="0"/>
              <w:autoSpaceDN w:val="0"/>
              <w:adjustRightInd w:val="0"/>
              <w:jc w:val="center"/>
              <w:textAlignment w:val="baseline"/>
              <w:rPr>
                <w:rFonts w:ascii="宋体" w:hAnsi="宋体" w:cs="宋体"/>
                <w:szCs w:val="21"/>
              </w:rPr>
            </w:pPr>
            <w:r>
              <w:rPr>
                <w:rFonts w:ascii="宋体" w:hAnsi="宋体" w:cs="宋体"/>
                <w:szCs w:val="21"/>
              </w:rPr>
              <w:br w:type="page"/>
            </w:r>
            <w:r>
              <w:rPr>
                <w:rFonts w:ascii="宋体" w:hAnsi="宋体" w:cs="宋体"/>
                <w:szCs w:val="21"/>
              </w:rPr>
              <w:t>工作能力</w:t>
            </w:r>
          </w:p>
        </w:tc>
        <w:tc>
          <w:tcPr>
            <w:tcW w:w="4061" w:type="pct"/>
            <w:tcBorders>
              <w:top w:val="single" w:color="auto" w:sz="4" w:space="0"/>
              <w:left w:val="single" w:color="auto" w:sz="4" w:space="0"/>
              <w:bottom w:val="single" w:color="auto" w:sz="4" w:space="0"/>
              <w:right w:val="single" w:color="auto" w:sz="4" w:space="0"/>
            </w:tcBorders>
            <w:vAlign w:val="center"/>
          </w:tcPr>
          <w:p w14:paraId="44649996">
            <w:pPr>
              <w:autoSpaceDE w:val="0"/>
              <w:autoSpaceDN w:val="0"/>
              <w:adjustRightInd w:val="0"/>
              <w:jc w:val="left"/>
              <w:textAlignment w:val="baseline"/>
              <w:rPr>
                <w:rFonts w:ascii="宋体" w:hAnsi="宋体" w:cs="宋体"/>
                <w:szCs w:val="21"/>
              </w:rPr>
            </w:pPr>
            <w:r>
              <w:rPr>
                <w:rFonts w:ascii="宋体" w:hAnsi="宋体" w:cs="宋体"/>
                <w:szCs w:val="21"/>
              </w:rPr>
              <w:t>-能够对智能网联汽车线控底盘技术的基本原理以及相关技术术语、概念和理论模型有清晰的了解，包括线控转向技术、线控制动技术、线控驱动技术等。</w:t>
            </w:r>
          </w:p>
        </w:tc>
        <w:tc>
          <w:tcPr>
            <w:tcW w:w="505" w:type="pct"/>
            <w:vMerge w:val="continue"/>
            <w:tcBorders>
              <w:top w:val="single" w:color="auto" w:sz="4" w:space="0"/>
              <w:left w:val="single" w:color="auto" w:sz="4" w:space="0"/>
              <w:bottom w:val="single" w:color="auto" w:sz="4" w:space="0"/>
              <w:right w:val="single" w:color="auto" w:sz="4" w:space="0"/>
            </w:tcBorders>
            <w:vAlign w:val="center"/>
          </w:tcPr>
          <w:p w14:paraId="42B2A79A">
            <w:pPr>
              <w:autoSpaceDE w:val="0"/>
              <w:autoSpaceDN w:val="0"/>
              <w:adjustRightInd w:val="0"/>
              <w:jc w:val="center"/>
              <w:textAlignment w:val="baseline"/>
              <w:rPr>
                <w:rFonts w:ascii="宋体" w:hAnsi="宋体" w:cs="宋体"/>
                <w:szCs w:val="21"/>
                <w:lang w:val="en-GB"/>
              </w:rPr>
            </w:pPr>
          </w:p>
        </w:tc>
      </w:tr>
      <w:tr w14:paraId="6D62C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14:paraId="16CA91D5">
            <w:pPr>
              <w:autoSpaceDE w:val="0"/>
              <w:autoSpaceDN w:val="0"/>
              <w:adjustRightInd w:val="0"/>
              <w:jc w:val="center"/>
              <w:textAlignment w:val="baseline"/>
              <w:rPr>
                <w:rFonts w:ascii="宋体" w:hAnsi="宋体" w:cs="宋体"/>
                <w:b/>
                <w:bCs/>
                <w:szCs w:val="21"/>
              </w:rPr>
            </w:pPr>
            <w:r>
              <w:rPr>
                <w:rFonts w:ascii="宋体" w:hAnsi="宋体" w:cs="宋体"/>
                <w:b/>
                <w:bCs/>
                <w:szCs w:val="21"/>
              </w:rPr>
              <w:t>3</w:t>
            </w:r>
          </w:p>
        </w:tc>
        <w:tc>
          <w:tcPr>
            <w:tcW w:w="4061" w:type="pct"/>
            <w:tcBorders>
              <w:top w:val="single" w:color="auto" w:sz="4" w:space="0"/>
              <w:left w:val="single" w:color="auto" w:sz="4" w:space="0"/>
              <w:bottom w:val="single" w:color="auto" w:sz="4" w:space="0"/>
              <w:right w:val="single" w:color="auto" w:sz="4" w:space="0"/>
            </w:tcBorders>
            <w:vAlign w:val="center"/>
          </w:tcPr>
          <w:p w14:paraId="12283302">
            <w:pPr>
              <w:autoSpaceDE w:val="0"/>
              <w:autoSpaceDN w:val="0"/>
              <w:adjustRightInd w:val="0"/>
              <w:jc w:val="center"/>
              <w:textAlignment w:val="baseline"/>
              <w:rPr>
                <w:rFonts w:ascii="宋体" w:hAnsi="宋体" w:cs="宋体"/>
                <w:b/>
                <w:bCs/>
                <w:szCs w:val="21"/>
              </w:rPr>
            </w:pPr>
            <w:r>
              <w:rPr>
                <w:rFonts w:ascii="宋体" w:hAnsi="宋体" w:cs="宋体"/>
                <w:b/>
                <w:bCs/>
                <w:szCs w:val="21"/>
              </w:rPr>
              <w:t>智能网联汽车虚拟仿真技术</w:t>
            </w:r>
          </w:p>
        </w:tc>
        <w:tc>
          <w:tcPr>
            <w:tcW w:w="505" w:type="pct"/>
            <w:vMerge w:val="restart"/>
            <w:tcBorders>
              <w:top w:val="single" w:color="auto" w:sz="4" w:space="0"/>
              <w:left w:val="single" w:color="auto" w:sz="4" w:space="0"/>
              <w:bottom w:val="single" w:color="auto" w:sz="4" w:space="0"/>
              <w:right w:val="single" w:color="auto" w:sz="4" w:space="0"/>
            </w:tcBorders>
            <w:vAlign w:val="center"/>
          </w:tcPr>
          <w:p w14:paraId="22F33288">
            <w:pPr>
              <w:autoSpaceDE w:val="0"/>
              <w:autoSpaceDN w:val="0"/>
              <w:adjustRightInd w:val="0"/>
              <w:jc w:val="center"/>
              <w:textAlignment w:val="baseline"/>
              <w:rPr>
                <w:rFonts w:ascii="宋体" w:hAnsi="宋体" w:cs="宋体"/>
                <w:szCs w:val="21"/>
                <w:lang w:val="en-GB"/>
              </w:rPr>
            </w:pPr>
            <w:r>
              <w:rPr>
                <w:rFonts w:hint="eastAsia" w:ascii="宋体" w:hAnsi="宋体" w:cs="宋体"/>
                <w:szCs w:val="21"/>
              </w:rPr>
              <w:t>2</w:t>
            </w:r>
            <w:r>
              <w:rPr>
                <w:rFonts w:ascii="宋体" w:hAnsi="宋体" w:cs="宋体"/>
                <w:szCs w:val="21"/>
                <w:lang w:val="en-GB"/>
              </w:rPr>
              <w:t>0</w:t>
            </w:r>
          </w:p>
        </w:tc>
      </w:tr>
      <w:tr w14:paraId="41895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 w:type="pct"/>
            <w:tcBorders>
              <w:top w:val="single" w:color="auto" w:sz="4" w:space="0"/>
              <w:left w:val="single" w:color="auto" w:sz="4" w:space="0"/>
              <w:bottom w:val="single" w:color="auto" w:sz="4" w:space="0"/>
              <w:right w:val="single" w:color="auto" w:sz="4" w:space="0"/>
            </w:tcBorders>
            <w:vAlign w:val="center"/>
          </w:tcPr>
          <w:p w14:paraId="76132C4F">
            <w:pPr>
              <w:autoSpaceDE w:val="0"/>
              <w:autoSpaceDN w:val="0"/>
              <w:adjustRightInd w:val="0"/>
              <w:jc w:val="center"/>
              <w:textAlignment w:val="baseline"/>
              <w:rPr>
                <w:rFonts w:ascii="宋体" w:hAnsi="宋体" w:cs="宋体"/>
                <w:szCs w:val="21"/>
              </w:rPr>
            </w:pPr>
            <w:r>
              <w:rPr>
                <w:rFonts w:ascii="宋体" w:hAnsi="宋体" w:cs="宋体"/>
                <w:szCs w:val="21"/>
              </w:rPr>
              <w:t>基本知识</w:t>
            </w:r>
          </w:p>
        </w:tc>
        <w:tc>
          <w:tcPr>
            <w:tcW w:w="4061" w:type="pct"/>
            <w:tcBorders>
              <w:top w:val="single" w:color="auto" w:sz="4" w:space="0"/>
              <w:left w:val="single" w:color="auto" w:sz="4" w:space="0"/>
              <w:bottom w:val="single" w:color="auto" w:sz="4" w:space="0"/>
              <w:right w:val="single" w:color="auto" w:sz="4" w:space="0"/>
            </w:tcBorders>
          </w:tcPr>
          <w:p w14:paraId="0933CCCC">
            <w:pPr>
              <w:autoSpaceDE w:val="0"/>
              <w:autoSpaceDN w:val="0"/>
              <w:adjustRightInd w:val="0"/>
              <w:jc w:val="left"/>
              <w:textAlignment w:val="baseline"/>
              <w:rPr>
                <w:rFonts w:ascii="宋体" w:hAnsi="宋体" w:cs="宋体"/>
                <w:szCs w:val="21"/>
              </w:rPr>
            </w:pPr>
            <w:r>
              <w:rPr>
                <w:rFonts w:ascii="宋体" w:hAnsi="宋体" w:cs="宋体"/>
                <w:szCs w:val="21"/>
              </w:rPr>
              <w:t>-了解智能网联汽车仿真环境搭建、场景建模、测试用例设计、控制接口调试以及场景数据库开发与调用等知识，掌握相关工具的安装调试、使用和维护规范。</w:t>
            </w:r>
          </w:p>
        </w:tc>
        <w:tc>
          <w:tcPr>
            <w:tcW w:w="505" w:type="pct"/>
            <w:vMerge w:val="continue"/>
            <w:tcBorders>
              <w:top w:val="single" w:color="auto" w:sz="4" w:space="0"/>
              <w:left w:val="single" w:color="auto" w:sz="4" w:space="0"/>
              <w:bottom w:val="single" w:color="auto" w:sz="4" w:space="0"/>
              <w:right w:val="single" w:color="auto" w:sz="4" w:space="0"/>
            </w:tcBorders>
            <w:vAlign w:val="center"/>
          </w:tcPr>
          <w:p w14:paraId="7DCDAAE8">
            <w:pPr>
              <w:autoSpaceDE w:val="0"/>
              <w:autoSpaceDN w:val="0"/>
              <w:adjustRightInd w:val="0"/>
              <w:jc w:val="center"/>
              <w:textAlignment w:val="baseline"/>
              <w:rPr>
                <w:rFonts w:ascii="宋体" w:hAnsi="宋体" w:cs="宋体"/>
                <w:szCs w:val="21"/>
                <w:lang w:val="en-GB"/>
              </w:rPr>
            </w:pPr>
          </w:p>
        </w:tc>
      </w:tr>
      <w:tr w14:paraId="7DF0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 w:type="pct"/>
            <w:tcBorders>
              <w:top w:val="single" w:color="auto" w:sz="4" w:space="0"/>
              <w:left w:val="single" w:color="auto" w:sz="4" w:space="0"/>
              <w:bottom w:val="single" w:color="auto" w:sz="4" w:space="0"/>
              <w:right w:val="single" w:color="auto" w:sz="4" w:space="0"/>
            </w:tcBorders>
            <w:vAlign w:val="center"/>
          </w:tcPr>
          <w:p w14:paraId="13FEF141">
            <w:pPr>
              <w:autoSpaceDE w:val="0"/>
              <w:autoSpaceDN w:val="0"/>
              <w:adjustRightInd w:val="0"/>
              <w:jc w:val="center"/>
              <w:textAlignment w:val="baseline"/>
              <w:rPr>
                <w:rFonts w:ascii="宋体" w:hAnsi="宋体" w:cs="宋体"/>
                <w:szCs w:val="21"/>
              </w:rPr>
            </w:pPr>
            <w:r>
              <w:rPr>
                <w:rFonts w:ascii="宋体" w:hAnsi="宋体" w:cs="宋体"/>
                <w:szCs w:val="21"/>
              </w:rPr>
              <w:t>工作能力</w:t>
            </w:r>
          </w:p>
        </w:tc>
        <w:tc>
          <w:tcPr>
            <w:tcW w:w="4061" w:type="pct"/>
            <w:tcBorders>
              <w:top w:val="single" w:color="auto" w:sz="4" w:space="0"/>
              <w:left w:val="single" w:color="auto" w:sz="4" w:space="0"/>
              <w:bottom w:val="single" w:color="auto" w:sz="4" w:space="0"/>
              <w:right w:val="single" w:color="auto" w:sz="4" w:space="0"/>
            </w:tcBorders>
          </w:tcPr>
          <w:p w14:paraId="270F8C38">
            <w:pPr>
              <w:autoSpaceDE w:val="0"/>
              <w:autoSpaceDN w:val="0"/>
              <w:adjustRightInd w:val="0"/>
              <w:jc w:val="left"/>
              <w:textAlignment w:val="baseline"/>
              <w:rPr>
                <w:rFonts w:ascii="宋体" w:hAnsi="宋体" w:cs="宋体"/>
                <w:szCs w:val="21"/>
              </w:rPr>
            </w:pPr>
            <w:r>
              <w:rPr>
                <w:rFonts w:ascii="宋体" w:hAnsi="宋体" w:cs="宋体"/>
                <w:szCs w:val="21"/>
              </w:rPr>
              <w:t>-能够了解智能网联汽车虚拟仿真技术的基本原理，包括仿真环境搭建、场景建模、测试用例设计、控制接口调试以及场景数据库开发与调用等方面的知识。</w:t>
            </w:r>
          </w:p>
          <w:p w14:paraId="227F725F">
            <w:pPr>
              <w:autoSpaceDE w:val="0"/>
              <w:autoSpaceDN w:val="0"/>
              <w:adjustRightInd w:val="0"/>
              <w:jc w:val="left"/>
              <w:textAlignment w:val="baseline"/>
              <w:rPr>
                <w:rFonts w:ascii="宋体" w:hAnsi="宋体" w:cs="宋体"/>
                <w:szCs w:val="21"/>
              </w:rPr>
            </w:pPr>
            <w:r>
              <w:rPr>
                <w:rFonts w:ascii="宋体" w:hAnsi="宋体" w:cs="宋体"/>
                <w:szCs w:val="21"/>
              </w:rPr>
              <w:t>-能够搭建智能网联汽车虚拟仿真环境，包括设置仿真参数、导入场景模型、创建测试用例等操作，并进行控制接口的调试和测试，确保仿真系统与车辆的数据交互正常。</w:t>
            </w:r>
          </w:p>
          <w:p w14:paraId="0174E9F8">
            <w:pPr>
              <w:autoSpaceDE w:val="0"/>
              <w:autoSpaceDN w:val="0"/>
              <w:adjustRightInd w:val="0"/>
              <w:jc w:val="left"/>
              <w:textAlignment w:val="baseline"/>
              <w:rPr>
                <w:rFonts w:ascii="宋体" w:hAnsi="宋体" w:cs="宋体"/>
                <w:szCs w:val="21"/>
              </w:rPr>
            </w:pPr>
            <w:r>
              <w:rPr>
                <w:rFonts w:ascii="宋体" w:hAnsi="宋体" w:cs="宋体"/>
                <w:szCs w:val="21"/>
              </w:rPr>
              <w:t>-能够分析仿真结果，理解仿真数据、日志和报告，提取关键信息并作出合理的判断，具备问题排查和故障修复的能力，能够快速定位和解决虚拟仿真系统中的技术问题和故障。</w:t>
            </w:r>
          </w:p>
        </w:tc>
        <w:tc>
          <w:tcPr>
            <w:tcW w:w="505" w:type="pct"/>
            <w:vMerge w:val="continue"/>
            <w:tcBorders>
              <w:top w:val="single" w:color="auto" w:sz="4" w:space="0"/>
              <w:left w:val="single" w:color="auto" w:sz="4" w:space="0"/>
              <w:bottom w:val="single" w:color="auto" w:sz="4" w:space="0"/>
              <w:right w:val="single" w:color="auto" w:sz="4" w:space="0"/>
            </w:tcBorders>
            <w:vAlign w:val="center"/>
          </w:tcPr>
          <w:p w14:paraId="7F49027F">
            <w:pPr>
              <w:autoSpaceDE w:val="0"/>
              <w:autoSpaceDN w:val="0"/>
              <w:adjustRightInd w:val="0"/>
              <w:jc w:val="center"/>
              <w:textAlignment w:val="baseline"/>
              <w:rPr>
                <w:rFonts w:ascii="宋体" w:hAnsi="宋体" w:cs="宋体"/>
                <w:szCs w:val="21"/>
                <w:lang w:val="en-GB"/>
              </w:rPr>
            </w:pPr>
          </w:p>
        </w:tc>
      </w:tr>
      <w:tr w14:paraId="454FA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14:paraId="6347D1D3">
            <w:pPr>
              <w:autoSpaceDE w:val="0"/>
              <w:autoSpaceDN w:val="0"/>
              <w:adjustRightInd w:val="0"/>
              <w:jc w:val="center"/>
              <w:textAlignment w:val="baseline"/>
              <w:rPr>
                <w:rFonts w:ascii="宋体" w:hAnsi="宋体" w:cs="宋体"/>
                <w:b/>
                <w:bCs/>
                <w:szCs w:val="21"/>
              </w:rPr>
            </w:pPr>
            <w:r>
              <w:rPr>
                <w:rFonts w:ascii="宋体" w:hAnsi="宋体" w:cs="宋体"/>
                <w:b/>
                <w:bCs/>
                <w:szCs w:val="21"/>
              </w:rPr>
              <w:t>4</w:t>
            </w:r>
          </w:p>
        </w:tc>
        <w:tc>
          <w:tcPr>
            <w:tcW w:w="4061" w:type="pct"/>
            <w:tcBorders>
              <w:top w:val="single" w:color="auto" w:sz="4" w:space="0"/>
              <w:left w:val="single" w:color="auto" w:sz="4" w:space="0"/>
              <w:bottom w:val="single" w:color="auto" w:sz="4" w:space="0"/>
              <w:right w:val="single" w:color="auto" w:sz="4" w:space="0"/>
            </w:tcBorders>
            <w:vAlign w:val="center"/>
          </w:tcPr>
          <w:p w14:paraId="31698F70">
            <w:pPr>
              <w:autoSpaceDE w:val="0"/>
              <w:autoSpaceDN w:val="0"/>
              <w:adjustRightInd w:val="0"/>
              <w:jc w:val="center"/>
              <w:textAlignment w:val="baseline"/>
              <w:rPr>
                <w:rFonts w:ascii="宋体" w:hAnsi="宋体" w:cs="宋体"/>
                <w:b/>
                <w:bCs/>
                <w:szCs w:val="21"/>
              </w:rPr>
            </w:pPr>
            <w:r>
              <w:rPr>
                <w:rFonts w:ascii="宋体" w:hAnsi="宋体" w:cs="宋体"/>
                <w:b/>
                <w:bCs/>
                <w:szCs w:val="21"/>
              </w:rPr>
              <w:t>智能网联汽车智能化技术</w:t>
            </w:r>
          </w:p>
        </w:tc>
        <w:tc>
          <w:tcPr>
            <w:tcW w:w="505" w:type="pct"/>
            <w:vMerge w:val="restart"/>
            <w:tcBorders>
              <w:top w:val="single" w:color="auto" w:sz="4" w:space="0"/>
              <w:left w:val="single" w:color="auto" w:sz="4" w:space="0"/>
              <w:right w:val="single" w:color="auto" w:sz="4" w:space="0"/>
            </w:tcBorders>
            <w:vAlign w:val="center"/>
          </w:tcPr>
          <w:p w14:paraId="40FBF749">
            <w:pPr>
              <w:autoSpaceDE w:val="0"/>
              <w:autoSpaceDN w:val="0"/>
              <w:adjustRightInd w:val="0"/>
              <w:jc w:val="center"/>
              <w:textAlignment w:val="baseline"/>
              <w:rPr>
                <w:rFonts w:ascii="宋体" w:hAnsi="宋体" w:cs="宋体"/>
                <w:szCs w:val="21"/>
                <w:lang w:val="en-GB"/>
              </w:rPr>
            </w:pPr>
            <w:r>
              <w:rPr>
                <w:rFonts w:ascii="宋体" w:hAnsi="宋体" w:cs="宋体"/>
                <w:szCs w:val="21"/>
                <w:lang w:val="en-GB"/>
              </w:rPr>
              <w:t>3</w:t>
            </w:r>
            <w:r>
              <w:rPr>
                <w:rFonts w:hint="eastAsia" w:ascii="宋体" w:hAnsi="宋体" w:cs="宋体"/>
                <w:szCs w:val="21"/>
              </w:rPr>
              <w:t>0</w:t>
            </w:r>
          </w:p>
        </w:tc>
      </w:tr>
      <w:tr w14:paraId="645D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 w:type="pct"/>
            <w:tcBorders>
              <w:top w:val="single" w:color="auto" w:sz="4" w:space="0"/>
              <w:left w:val="single" w:color="auto" w:sz="4" w:space="0"/>
              <w:bottom w:val="single" w:color="auto" w:sz="4" w:space="0"/>
              <w:right w:val="single" w:color="auto" w:sz="4" w:space="0"/>
            </w:tcBorders>
            <w:vAlign w:val="center"/>
          </w:tcPr>
          <w:p w14:paraId="364385AA">
            <w:pPr>
              <w:autoSpaceDE w:val="0"/>
              <w:autoSpaceDN w:val="0"/>
              <w:adjustRightInd w:val="0"/>
              <w:jc w:val="center"/>
              <w:textAlignment w:val="baseline"/>
              <w:rPr>
                <w:rFonts w:ascii="宋体" w:hAnsi="宋体" w:cs="宋体"/>
                <w:szCs w:val="21"/>
              </w:rPr>
            </w:pPr>
            <w:r>
              <w:rPr>
                <w:rFonts w:ascii="宋体" w:hAnsi="宋体" w:cs="宋体"/>
                <w:szCs w:val="21"/>
              </w:rPr>
              <w:t>基本知识</w:t>
            </w:r>
          </w:p>
        </w:tc>
        <w:tc>
          <w:tcPr>
            <w:tcW w:w="4061" w:type="pct"/>
            <w:tcBorders>
              <w:top w:val="single" w:color="auto" w:sz="4" w:space="0"/>
              <w:left w:val="single" w:color="auto" w:sz="4" w:space="0"/>
              <w:bottom w:val="single" w:color="auto" w:sz="4" w:space="0"/>
              <w:right w:val="single" w:color="auto" w:sz="4" w:space="0"/>
            </w:tcBorders>
          </w:tcPr>
          <w:p w14:paraId="2B110B33">
            <w:pPr>
              <w:autoSpaceDE w:val="0"/>
              <w:autoSpaceDN w:val="0"/>
              <w:adjustRightInd w:val="0"/>
              <w:jc w:val="left"/>
              <w:textAlignment w:val="baseline"/>
              <w:rPr>
                <w:rFonts w:ascii="宋体" w:hAnsi="宋体" w:cs="宋体"/>
                <w:szCs w:val="21"/>
              </w:rPr>
            </w:pPr>
            <w:r>
              <w:rPr>
                <w:rFonts w:ascii="宋体" w:hAnsi="宋体" w:cs="宋体"/>
                <w:szCs w:val="21"/>
              </w:rPr>
              <w:t>-环境感知技术：了解雷达探测技术、机器视觉技术、车辆姿态感知技术、信息融合技术等基本原理，掌握相关装备的安装调试、使用和维护规范。</w:t>
            </w:r>
          </w:p>
          <w:p w14:paraId="3C835711">
            <w:pPr>
              <w:autoSpaceDE w:val="0"/>
              <w:autoSpaceDN w:val="0"/>
              <w:adjustRightInd w:val="0"/>
              <w:jc w:val="left"/>
              <w:textAlignment w:val="baseline"/>
              <w:rPr>
                <w:rFonts w:ascii="宋体" w:hAnsi="宋体" w:cs="宋体"/>
                <w:szCs w:val="21"/>
              </w:rPr>
            </w:pPr>
            <w:r>
              <w:rPr>
                <w:rFonts w:ascii="宋体" w:hAnsi="宋体" w:cs="宋体"/>
                <w:szCs w:val="21"/>
              </w:rPr>
              <w:t>-智能决策技术：了解任务决策、路径规划等决策算法基本知识，掌握控制系统相关装备的安装调试和使用维护规范及技能。</w:t>
            </w:r>
          </w:p>
          <w:p w14:paraId="23E2D206">
            <w:pPr>
              <w:autoSpaceDE w:val="0"/>
              <w:autoSpaceDN w:val="0"/>
              <w:adjustRightInd w:val="0"/>
              <w:jc w:val="left"/>
              <w:textAlignment w:val="baseline"/>
              <w:rPr>
                <w:rFonts w:ascii="宋体" w:hAnsi="宋体" w:cs="宋体"/>
                <w:szCs w:val="21"/>
              </w:rPr>
            </w:pPr>
            <w:r>
              <w:rPr>
                <w:rFonts w:ascii="宋体" w:hAnsi="宋体" w:cs="宋体"/>
                <w:szCs w:val="21"/>
              </w:rPr>
              <w:t>-信息交互技术：了解车辆定位技术、车载通信技术、车载网络技术、车路协同技术等基本原理，掌握相关装备的安装调试和使用维护规范。</w:t>
            </w:r>
          </w:p>
          <w:p w14:paraId="10AF1292">
            <w:pPr>
              <w:autoSpaceDE w:val="0"/>
              <w:autoSpaceDN w:val="0"/>
              <w:adjustRightInd w:val="0"/>
              <w:jc w:val="left"/>
              <w:textAlignment w:val="baseline"/>
              <w:rPr>
                <w:rFonts w:ascii="宋体" w:hAnsi="宋体" w:cs="宋体"/>
                <w:szCs w:val="21"/>
              </w:rPr>
            </w:pPr>
            <w:r>
              <w:rPr>
                <w:rFonts w:ascii="宋体" w:hAnsi="宋体" w:cs="宋体"/>
                <w:szCs w:val="21"/>
              </w:rPr>
              <w:t>-辅助驾驶系统技术技能：了解辅助驾驶功能的实现方案、辅助驾驶功能的测试法规等，掌握相关装备的安装调试和使用维护规范。</w:t>
            </w:r>
          </w:p>
        </w:tc>
        <w:tc>
          <w:tcPr>
            <w:tcW w:w="505" w:type="pct"/>
            <w:vMerge w:val="continue"/>
            <w:tcBorders>
              <w:left w:val="single" w:color="auto" w:sz="4" w:space="0"/>
              <w:right w:val="single" w:color="auto" w:sz="4" w:space="0"/>
            </w:tcBorders>
            <w:vAlign w:val="center"/>
          </w:tcPr>
          <w:p w14:paraId="4EEE73F7">
            <w:pPr>
              <w:autoSpaceDE w:val="0"/>
              <w:autoSpaceDN w:val="0"/>
              <w:adjustRightInd w:val="0"/>
              <w:jc w:val="center"/>
              <w:textAlignment w:val="baseline"/>
              <w:rPr>
                <w:rFonts w:ascii="宋体" w:hAnsi="宋体" w:cs="宋体"/>
                <w:szCs w:val="21"/>
                <w:lang w:val="en-GB"/>
              </w:rPr>
            </w:pPr>
          </w:p>
        </w:tc>
      </w:tr>
      <w:tr w14:paraId="68A9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 w:type="pct"/>
            <w:tcBorders>
              <w:top w:val="single" w:color="auto" w:sz="4" w:space="0"/>
              <w:left w:val="single" w:color="auto" w:sz="4" w:space="0"/>
              <w:bottom w:val="single" w:color="auto" w:sz="4" w:space="0"/>
              <w:right w:val="single" w:color="auto" w:sz="4" w:space="0"/>
            </w:tcBorders>
            <w:vAlign w:val="center"/>
          </w:tcPr>
          <w:p w14:paraId="45248019">
            <w:pPr>
              <w:autoSpaceDE w:val="0"/>
              <w:autoSpaceDN w:val="0"/>
              <w:adjustRightInd w:val="0"/>
              <w:jc w:val="center"/>
              <w:textAlignment w:val="baseline"/>
              <w:rPr>
                <w:rFonts w:ascii="宋体" w:hAnsi="宋体" w:cs="宋体"/>
                <w:szCs w:val="21"/>
              </w:rPr>
            </w:pPr>
            <w:r>
              <w:rPr>
                <w:rFonts w:ascii="宋体" w:hAnsi="宋体" w:cs="宋体"/>
                <w:szCs w:val="21"/>
              </w:rPr>
              <w:t>工作能力</w:t>
            </w:r>
          </w:p>
        </w:tc>
        <w:tc>
          <w:tcPr>
            <w:tcW w:w="4061" w:type="pct"/>
            <w:tcBorders>
              <w:top w:val="single" w:color="auto" w:sz="4" w:space="0"/>
              <w:left w:val="single" w:color="auto" w:sz="4" w:space="0"/>
              <w:bottom w:val="single" w:color="auto" w:sz="4" w:space="0"/>
              <w:right w:val="single" w:color="auto" w:sz="4" w:space="0"/>
            </w:tcBorders>
          </w:tcPr>
          <w:p w14:paraId="67CD6FFE">
            <w:pPr>
              <w:autoSpaceDE w:val="0"/>
              <w:autoSpaceDN w:val="0"/>
              <w:adjustRightInd w:val="0"/>
              <w:jc w:val="left"/>
              <w:textAlignment w:val="baseline"/>
              <w:rPr>
                <w:rFonts w:ascii="宋体" w:hAnsi="宋体" w:cs="宋体"/>
                <w:szCs w:val="21"/>
              </w:rPr>
            </w:pPr>
            <w:r>
              <w:rPr>
                <w:rFonts w:ascii="宋体" w:hAnsi="宋体" w:cs="宋体"/>
                <w:szCs w:val="21"/>
              </w:rPr>
              <w:t>-能够了解和理解雷达探测技术、机器视觉技术、车辆姿态感知技术、信息融合技术等的基本原理，并能够熟练安装、调试和使用与环境感知相关的装备并遵守相关的维护规范的能力。</w:t>
            </w:r>
          </w:p>
          <w:p w14:paraId="3983A2BD">
            <w:pPr>
              <w:autoSpaceDE w:val="0"/>
              <w:autoSpaceDN w:val="0"/>
              <w:adjustRightInd w:val="0"/>
              <w:jc w:val="left"/>
              <w:textAlignment w:val="baseline"/>
              <w:rPr>
                <w:rFonts w:ascii="宋体" w:hAnsi="宋体" w:cs="宋体"/>
                <w:szCs w:val="21"/>
              </w:rPr>
            </w:pPr>
            <w:r>
              <w:rPr>
                <w:rFonts w:ascii="宋体" w:hAnsi="宋体" w:cs="宋体"/>
                <w:szCs w:val="21"/>
              </w:rPr>
              <w:t>-能够了解任务决策、路径规划等决策算法的基本知识，并能够应用于智能决策系统中。</w:t>
            </w:r>
          </w:p>
          <w:p w14:paraId="7E9C286D">
            <w:pPr>
              <w:autoSpaceDE w:val="0"/>
              <w:autoSpaceDN w:val="0"/>
              <w:adjustRightInd w:val="0"/>
              <w:jc w:val="left"/>
              <w:textAlignment w:val="baseline"/>
              <w:rPr>
                <w:rFonts w:ascii="宋体" w:hAnsi="宋体" w:cs="宋体"/>
                <w:szCs w:val="21"/>
              </w:rPr>
            </w:pPr>
            <w:r>
              <w:rPr>
                <w:rFonts w:ascii="宋体" w:hAnsi="宋体" w:cs="宋体"/>
                <w:szCs w:val="21"/>
              </w:rPr>
              <w:t>-能够了解车辆定位、车载通信、车载网络和车路协同等技术的基本原理，能够应用于信息交互系统中，并能够熟练安装、调试和使用与信息交互相关的装备，如定位系统、通信设备等，并遵守相关的维护规范。</w:t>
            </w:r>
          </w:p>
          <w:p w14:paraId="49B979D3">
            <w:pPr>
              <w:autoSpaceDE w:val="0"/>
              <w:autoSpaceDN w:val="0"/>
              <w:adjustRightInd w:val="0"/>
              <w:jc w:val="left"/>
              <w:textAlignment w:val="baseline"/>
              <w:rPr>
                <w:rFonts w:ascii="宋体" w:hAnsi="宋体" w:cs="宋体"/>
                <w:szCs w:val="21"/>
              </w:rPr>
            </w:pPr>
            <w:r>
              <w:rPr>
                <w:rFonts w:ascii="宋体" w:hAnsi="宋体" w:cs="宋体"/>
                <w:szCs w:val="21"/>
              </w:rPr>
              <w:t>-能够具备分析环境感知数据、决策结果和信息交互过程的能力，能够评估算法的性能和系统的可靠性，实现车辆与车辆、车辆与基础设施之间的数据交互和通信。</w:t>
            </w:r>
          </w:p>
        </w:tc>
        <w:tc>
          <w:tcPr>
            <w:tcW w:w="505" w:type="pct"/>
            <w:vMerge w:val="continue"/>
            <w:tcBorders>
              <w:left w:val="single" w:color="auto" w:sz="4" w:space="0"/>
              <w:bottom w:val="single" w:color="auto" w:sz="4" w:space="0"/>
              <w:right w:val="single" w:color="auto" w:sz="4" w:space="0"/>
            </w:tcBorders>
            <w:vAlign w:val="center"/>
          </w:tcPr>
          <w:p w14:paraId="2449341C">
            <w:pPr>
              <w:autoSpaceDE w:val="0"/>
              <w:autoSpaceDN w:val="0"/>
              <w:adjustRightInd w:val="0"/>
              <w:jc w:val="center"/>
              <w:textAlignment w:val="baseline"/>
              <w:rPr>
                <w:rFonts w:ascii="宋体" w:hAnsi="宋体" w:cs="宋体"/>
                <w:szCs w:val="21"/>
                <w:lang w:val="en-GB"/>
              </w:rPr>
            </w:pPr>
          </w:p>
        </w:tc>
      </w:tr>
      <w:tr w14:paraId="36B96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32" w:type="pct"/>
            <w:tcBorders>
              <w:top w:val="single" w:color="auto" w:sz="4" w:space="0"/>
              <w:left w:val="single" w:color="auto" w:sz="4" w:space="0"/>
              <w:bottom w:val="single" w:color="auto" w:sz="4" w:space="0"/>
              <w:right w:val="single" w:color="auto" w:sz="4" w:space="0"/>
            </w:tcBorders>
            <w:vAlign w:val="center"/>
          </w:tcPr>
          <w:p w14:paraId="2B601285">
            <w:pPr>
              <w:autoSpaceDE w:val="0"/>
              <w:autoSpaceDN w:val="0"/>
              <w:adjustRightInd w:val="0"/>
              <w:jc w:val="center"/>
              <w:textAlignment w:val="baseline"/>
              <w:rPr>
                <w:rFonts w:ascii="宋体" w:hAnsi="宋体" w:cs="宋体"/>
                <w:b/>
                <w:bCs/>
                <w:szCs w:val="21"/>
              </w:rPr>
            </w:pPr>
            <w:r>
              <w:rPr>
                <w:rFonts w:hint="eastAsia" w:ascii="宋体" w:hAnsi="宋体" w:cs="宋体"/>
                <w:b/>
                <w:bCs/>
                <w:szCs w:val="21"/>
              </w:rPr>
              <w:t>5</w:t>
            </w:r>
          </w:p>
        </w:tc>
        <w:tc>
          <w:tcPr>
            <w:tcW w:w="4061" w:type="pct"/>
            <w:tcBorders>
              <w:top w:val="single" w:color="auto" w:sz="4" w:space="0"/>
              <w:left w:val="single" w:color="auto" w:sz="4" w:space="0"/>
              <w:bottom w:val="single" w:color="auto" w:sz="4" w:space="0"/>
              <w:right w:val="single" w:color="auto" w:sz="4" w:space="0"/>
            </w:tcBorders>
            <w:vAlign w:val="center"/>
          </w:tcPr>
          <w:p w14:paraId="603BA3CE">
            <w:pPr>
              <w:autoSpaceDE w:val="0"/>
              <w:autoSpaceDN w:val="0"/>
              <w:adjustRightInd w:val="0"/>
              <w:jc w:val="center"/>
              <w:textAlignment w:val="baseline"/>
              <w:rPr>
                <w:rFonts w:ascii="宋体" w:hAnsi="宋体" w:cs="宋体"/>
                <w:b/>
                <w:bCs/>
                <w:szCs w:val="21"/>
              </w:rPr>
            </w:pPr>
            <w:r>
              <w:rPr>
                <w:rFonts w:ascii="宋体" w:hAnsi="宋体" w:cs="宋体"/>
                <w:b/>
                <w:bCs/>
                <w:szCs w:val="21"/>
              </w:rPr>
              <w:t>安全知识与职业素养</w:t>
            </w:r>
          </w:p>
        </w:tc>
        <w:tc>
          <w:tcPr>
            <w:tcW w:w="505" w:type="pct"/>
            <w:vMerge w:val="restart"/>
            <w:tcBorders>
              <w:left w:val="single" w:color="auto" w:sz="4" w:space="0"/>
              <w:right w:val="single" w:color="auto" w:sz="4" w:space="0"/>
            </w:tcBorders>
            <w:vAlign w:val="center"/>
          </w:tcPr>
          <w:p w14:paraId="60C7E550">
            <w:pPr>
              <w:autoSpaceDE w:val="0"/>
              <w:autoSpaceDN w:val="0"/>
              <w:adjustRightInd w:val="0"/>
              <w:jc w:val="center"/>
              <w:textAlignment w:val="baseline"/>
              <w:rPr>
                <w:rFonts w:ascii="宋体" w:hAnsi="宋体" w:cs="宋体"/>
                <w:szCs w:val="21"/>
                <w:lang w:val="en-GB"/>
              </w:rPr>
            </w:pPr>
            <w:r>
              <w:rPr>
                <w:rFonts w:ascii="宋体" w:hAnsi="宋体" w:cs="宋体"/>
                <w:szCs w:val="21"/>
                <w:lang w:val="en-GB"/>
              </w:rPr>
              <w:t>5</w:t>
            </w:r>
          </w:p>
        </w:tc>
      </w:tr>
      <w:tr w14:paraId="1B8B7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 w:type="pct"/>
            <w:tcBorders>
              <w:top w:val="single" w:color="auto" w:sz="4" w:space="0"/>
              <w:left w:val="single" w:color="auto" w:sz="4" w:space="0"/>
              <w:bottom w:val="single" w:color="auto" w:sz="4" w:space="0"/>
              <w:right w:val="single" w:color="auto" w:sz="4" w:space="0"/>
            </w:tcBorders>
            <w:vAlign w:val="center"/>
          </w:tcPr>
          <w:p w14:paraId="35A6968A">
            <w:pPr>
              <w:autoSpaceDE w:val="0"/>
              <w:autoSpaceDN w:val="0"/>
              <w:adjustRightInd w:val="0"/>
              <w:jc w:val="center"/>
              <w:textAlignment w:val="baseline"/>
              <w:rPr>
                <w:rFonts w:ascii="宋体" w:hAnsi="宋体" w:cs="宋体"/>
                <w:szCs w:val="21"/>
              </w:rPr>
            </w:pPr>
            <w:r>
              <w:rPr>
                <w:rFonts w:ascii="宋体" w:hAnsi="宋体" w:cs="宋体"/>
                <w:szCs w:val="21"/>
              </w:rPr>
              <w:t>基本知识</w:t>
            </w:r>
          </w:p>
        </w:tc>
        <w:tc>
          <w:tcPr>
            <w:tcW w:w="4061" w:type="pct"/>
            <w:tcBorders>
              <w:top w:val="single" w:color="auto" w:sz="4" w:space="0"/>
              <w:left w:val="single" w:color="auto" w:sz="4" w:space="0"/>
              <w:bottom w:val="single" w:color="auto" w:sz="4" w:space="0"/>
              <w:right w:val="single" w:color="auto" w:sz="4" w:space="0"/>
            </w:tcBorders>
            <w:vAlign w:val="center"/>
          </w:tcPr>
          <w:p w14:paraId="3F0BA8CA">
            <w:pPr>
              <w:autoSpaceDE w:val="0"/>
              <w:autoSpaceDN w:val="0"/>
              <w:adjustRightInd w:val="0"/>
              <w:jc w:val="left"/>
              <w:textAlignment w:val="baseline"/>
              <w:rPr>
                <w:rFonts w:ascii="宋体" w:hAnsi="宋体" w:cs="宋体"/>
                <w:szCs w:val="21"/>
              </w:rPr>
            </w:pPr>
            <w:r>
              <w:rPr>
                <w:rFonts w:ascii="宋体" w:hAnsi="宋体" w:cs="宋体"/>
                <w:szCs w:val="21"/>
              </w:rPr>
              <w:t>-安全知识与职业规范</w:t>
            </w:r>
          </w:p>
        </w:tc>
        <w:tc>
          <w:tcPr>
            <w:tcW w:w="505" w:type="pct"/>
            <w:vMerge w:val="continue"/>
            <w:tcBorders>
              <w:left w:val="single" w:color="auto" w:sz="4" w:space="0"/>
              <w:right w:val="single" w:color="auto" w:sz="4" w:space="0"/>
            </w:tcBorders>
            <w:vAlign w:val="center"/>
          </w:tcPr>
          <w:p w14:paraId="5E6EB4B7">
            <w:pPr>
              <w:autoSpaceDE w:val="0"/>
              <w:autoSpaceDN w:val="0"/>
              <w:adjustRightInd w:val="0"/>
              <w:jc w:val="center"/>
              <w:textAlignment w:val="baseline"/>
              <w:rPr>
                <w:rFonts w:ascii="宋体" w:hAnsi="宋体" w:cs="宋体"/>
                <w:szCs w:val="21"/>
                <w:lang w:val="en-GB"/>
              </w:rPr>
            </w:pPr>
          </w:p>
        </w:tc>
      </w:tr>
      <w:tr w14:paraId="7EAF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2" w:type="pct"/>
            <w:tcBorders>
              <w:top w:val="single" w:color="auto" w:sz="4" w:space="0"/>
              <w:left w:val="single" w:color="auto" w:sz="4" w:space="0"/>
              <w:bottom w:val="single" w:color="auto" w:sz="4" w:space="0"/>
              <w:right w:val="single" w:color="auto" w:sz="4" w:space="0"/>
            </w:tcBorders>
            <w:vAlign w:val="center"/>
          </w:tcPr>
          <w:p w14:paraId="561B16CF">
            <w:pPr>
              <w:autoSpaceDE w:val="0"/>
              <w:autoSpaceDN w:val="0"/>
              <w:adjustRightInd w:val="0"/>
              <w:jc w:val="center"/>
              <w:textAlignment w:val="baseline"/>
              <w:rPr>
                <w:rFonts w:ascii="宋体" w:hAnsi="宋体" w:cs="宋体"/>
                <w:szCs w:val="21"/>
              </w:rPr>
            </w:pPr>
            <w:r>
              <w:rPr>
                <w:rFonts w:ascii="宋体" w:hAnsi="宋体" w:cs="宋体"/>
                <w:szCs w:val="21"/>
              </w:rPr>
              <w:t>工作能力</w:t>
            </w:r>
          </w:p>
        </w:tc>
        <w:tc>
          <w:tcPr>
            <w:tcW w:w="4061" w:type="pct"/>
            <w:tcBorders>
              <w:top w:val="single" w:color="auto" w:sz="4" w:space="0"/>
              <w:left w:val="single" w:color="auto" w:sz="4" w:space="0"/>
              <w:bottom w:val="single" w:color="auto" w:sz="4" w:space="0"/>
              <w:right w:val="single" w:color="auto" w:sz="4" w:space="0"/>
            </w:tcBorders>
          </w:tcPr>
          <w:p w14:paraId="20BCE8C7">
            <w:pPr>
              <w:autoSpaceDE w:val="0"/>
              <w:autoSpaceDN w:val="0"/>
              <w:adjustRightInd w:val="0"/>
              <w:jc w:val="left"/>
              <w:textAlignment w:val="baseline"/>
              <w:rPr>
                <w:rFonts w:ascii="宋体" w:hAnsi="宋体" w:cs="宋体"/>
                <w:szCs w:val="21"/>
              </w:rPr>
            </w:pPr>
            <w:r>
              <w:rPr>
                <w:rFonts w:ascii="宋体" w:hAnsi="宋体" w:cs="宋体"/>
                <w:szCs w:val="21"/>
              </w:rPr>
              <w:t>-严格遵循相关职业素养要求及安全规范。</w:t>
            </w:r>
          </w:p>
          <w:p w14:paraId="0A462944">
            <w:pPr>
              <w:autoSpaceDE w:val="0"/>
              <w:autoSpaceDN w:val="0"/>
              <w:adjustRightInd w:val="0"/>
              <w:jc w:val="left"/>
              <w:textAlignment w:val="baseline"/>
              <w:rPr>
                <w:rFonts w:ascii="宋体" w:hAnsi="宋体" w:cs="宋体"/>
                <w:szCs w:val="21"/>
              </w:rPr>
            </w:pPr>
            <w:r>
              <w:rPr>
                <w:rFonts w:ascii="宋体" w:hAnsi="宋体" w:cs="宋体"/>
                <w:szCs w:val="21"/>
              </w:rPr>
              <w:t>-设备安全规范使用。</w:t>
            </w:r>
          </w:p>
        </w:tc>
        <w:tc>
          <w:tcPr>
            <w:tcW w:w="505" w:type="pct"/>
            <w:vMerge w:val="continue"/>
            <w:tcBorders>
              <w:left w:val="single" w:color="auto" w:sz="4" w:space="0"/>
              <w:bottom w:val="single" w:color="auto" w:sz="4" w:space="0"/>
              <w:right w:val="single" w:color="auto" w:sz="4" w:space="0"/>
            </w:tcBorders>
            <w:vAlign w:val="center"/>
          </w:tcPr>
          <w:p w14:paraId="2082D274">
            <w:pPr>
              <w:autoSpaceDE w:val="0"/>
              <w:autoSpaceDN w:val="0"/>
              <w:adjustRightInd w:val="0"/>
              <w:jc w:val="center"/>
              <w:textAlignment w:val="baseline"/>
              <w:rPr>
                <w:rFonts w:ascii="宋体" w:hAnsi="宋体" w:cs="宋体"/>
                <w:szCs w:val="21"/>
                <w:lang w:val="en-GB"/>
              </w:rPr>
            </w:pPr>
          </w:p>
        </w:tc>
      </w:tr>
      <w:tr w14:paraId="61825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94" w:type="pct"/>
            <w:gridSpan w:val="2"/>
            <w:tcBorders>
              <w:top w:val="single" w:color="auto" w:sz="4" w:space="0"/>
              <w:left w:val="single" w:color="auto" w:sz="4" w:space="0"/>
              <w:bottom w:val="single" w:color="auto" w:sz="4" w:space="0"/>
              <w:right w:val="single" w:color="auto" w:sz="4" w:space="0"/>
            </w:tcBorders>
            <w:vAlign w:val="center"/>
          </w:tcPr>
          <w:p w14:paraId="790FD221">
            <w:pPr>
              <w:autoSpaceDE w:val="0"/>
              <w:autoSpaceDN w:val="0"/>
              <w:adjustRightInd w:val="0"/>
              <w:jc w:val="center"/>
              <w:textAlignment w:val="baseline"/>
              <w:rPr>
                <w:rFonts w:ascii="宋体" w:hAnsi="宋体" w:cs="宋体"/>
                <w:szCs w:val="21"/>
              </w:rPr>
            </w:pPr>
            <w:r>
              <w:rPr>
                <w:rFonts w:ascii="宋体" w:hAnsi="宋体" w:cs="宋体"/>
                <w:szCs w:val="21"/>
                <w:lang w:val="en-GB"/>
              </w:rPr>
              <w:t>合计</w:t>
            </w:r>
          </w:p>
        </w:tc>
        <w:tc>
          <w:tcPr>
            <w:tcW w:w="505" w:type="pct"/>
            <w:tcBorders>
              <w:top w:val="single" w:color="auto" w:sz="4" w:space="0"/>
              <w:left w:val="single" w:color="auto" w:sz="4" w:space="0"/>
              <w:bottom w:val="single" w:color="auto" w:sz="4" w:space="0"/>
              <w:right w:val="single" w:color="auto" w:sz="4" w:space="0"/>
            </w:tcBorders>
            <w:vAlign w:val="center"/>
          </w:tcPr>
          <w:p w14:paraId="194F8953">
            <w:pPr>
              <w:autoSpaceDE w:val="0"/>
              <w:autoSpaceDN w:val="0"/>
              <w:adjustRightInd w:val="0"/>
              <w:jc w:val="center"/>
              <w:textAlignment w:val="baseline"/>
              <w:rPr>
                <w:rFonts w:ascii="宋体" w:hAnsi="宋体" w:cs="宋体"/>
                <w:szCs w:val="21"/>
                <w:lang w:val="en-GB"/>
              </w:rPr>
            </w:pPr>
            <w:r>
              <w:rPr>
                <w:rFonts w:ascii="宋体" w:hAnsi="宋体" w:cs="宋体"/>
                <w:szCs w:val="21"/>
                <w:lang w:val="en-GB"/>
              </w:rPr>
              <w:t>100</w:t>
            </w:r>
          </w:p>
        </w:tc>
      </w:tr>
    </w:tbl>
    <w:p w14:paraId="011E0C4D">
      <w:pPr>
        <w:pStyle w:val="2"/>
      </w:pPr>
    </w:p>
    <w:p w14:paraId="2DE9503F">
      <w:pPr>
        <w:adjustRightInd w:val="0"/>
        <w:outlineLvl w:val="0"/>
        <w:rPr>
          <w:b/>
          <w:bCs/>
          <w:spacing w:val="-6"/>
          <w:sz w:val="32"/>
          <w:szCs w:val="32"/>
        </w:rPr>
      </w:pPr>
      <w:bookmarkStart w:id="15" w:name="_Toc23405"/>
      <w:r>
        <w:rPr>
          <w:rFonts w:hint="eastAsia"/>
          <w:b/>
          <w:bCs/>
          <w:spacing w:val="-6"/>
          <w:sz w:val="32"/>
          <w:szCs w:val="32"/>
        </w:rPr>
        <w:t>二、试题与评判标准</w:t>
      </w:r>
      <w:bookmarkEnd w:id="14"/>
      <w:bookmarkEnd w:id="15"/>
    </w:p>
    <w:p w14:paraId="5D5D3CBE">
      <w:pPr>
        <w:adjustRightInd w:val="0"/>
        <w:ind w:firstLine="538" w:firstLineChars="200"/>
        <w:outlineLvl w:val="1"/>
        <w:rPr>
          <w:b/>
          <w:bCs/>
          <w:spacing w:val="-6"/>
          <w:sz w:val="28"/>
          <w:szCs w:val="28"/>
        </w:rPr>
      </w:pPr>
      <w:bookmarkStart w:id="16" w:name="_Toc481314001"/>
      <w:bookmarkEnd w:id="16"/>
      <w:bookmarkStart w:id="17" w:name="_Toc51325922"/>
      <w:bookmarkStart w:id="18" w:name="_Toc7551"/>
      <w:r>
        <w:rPr>
          <w:rFonts w:hint="eastAsia"/>
          <w:b/>
          <w:bCs/>
          <w:spacing w:val="-6"/>
          <w:sz w:val="28"/>
          <w:szCs w:val="28"/>
        </w:rPr>
        <w:t>（一）竞赛试题</w:t>
      </w:r>
      <w:bookmarkEnd w:id="17"/>
      <w:bookmarkEnd w:id="18"/>
    </w:p>
    <w:p w14:paraId="3B399AD9">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1.试题基本内容</w:t>
      </w:r>
    </w:p>
    <w:p w14:paraId="57AACA7E">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模块A：智能网联汽车智能化装备装调</w:t>
      </w:r>
    </w:p>
    <w:p w14:paraId="1950D3A2">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本赛题要求参赛选手基于所提供的智能网联汽车竞赛平台、车路协同竞赛平台、工量具以及调试电脑等，按照赛题要求完成竞赛平台软硬件的安装、调试、智能化装备数据收发与解析</w:t>
      </w:r>
      <w:r>
        <w:rPr>
          <w:rFonts w:hint="eastAsia" w:ascii="宋体" w:hAnsi="宋体" w:cs="宋体"/>
          <w:spacing w:val="-6"/>
          <w:szCs w:val="21"/>
          <w:lang w:val="en-US" w:eastAsia="zh-CN"/>
        </w:rPr>
        <w:t>及</w:t>
      </w:r>
      <w:r>
        <w:rPr>
          <w:rFonts w:hint="eastAsia" w:ascii="宋体" w:hAnsi="宋体" w:cs="宋体"/>
          <w:spacing w:val="-6"/>
          <w:szCs w:val="21"/>
        </w:rPr>
        <w:t>故障排除等工作任务，并填写相应工单。本模块的考核指标主要为竞赛平台的安装、调试工作完成情况，数据收发与解析准确度，故障排除数量等。</w:t>
      </w:r>
    </w:p>
    <w:p w14:paraId="21B89173">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模块B：智能网联汽车仿真验证</w:t>
      </w:r>
    </w:p>
    <w:p w14:paraId="1F0280B2">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本赛题要求参赛选手基于所提供的仿真平台，在充分理解智能网联汽车及车路协同设备各传感器、控制器、执行器工作原理的基础上，按照赛题要求完成自动驾驶车辆模型搭建、车路协同设备模型配置、测试场景搭建和指定场景自动驾驶算法的设计与测试等任务。本模块的考核指标为参赛选手对仿真平台正确操作的情况、自动驾驶算法控制车辆正确完成任务的情况。</w:t>
      </w:r>
    </w:p>
    <w:p w14:paraId="3F27DFEE">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模块C：智能网联汽车综合道路测试</w:t>
      </w:r>
    </w:p>
    <w:p w14:paraId="50FB2BCD">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本赛题要求参赛选手基于所提供的智能网联汽车竞赛平台、车路协同综合竞赛平台等，按照赛题要求完成部分传感器标定、行驶轨迹录制、地图编辑、车路协同通信、车路协同控制逻辑设计等任务。本模块的考核指标为指定场景下基于车路协同的自动驾驶执行情况。</w:t>
      </w:r>
    </w:p>
    <w:p w14:paraId="4CB3B277">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2.试题命题的办法与流程</w:t>
      </w:r>
    </w:p>
    <w:p w14:paraId="1A1DACCC">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本项目比赛形式为双人实操比赛，竞赛只设实操考核，不设理论考试，理论知识融入实际实操考核中考核。本届全部考核内容为实操考核。</w:t>
      </w:r>
    </w:p>
    <w:p w14:paraId="42DCA028">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大赛组委会技术工作委员会组织有关专家参照现行《机动车检验工国家职业技能标准》、《汽车维修工国家职业技能标准》，同时符合“职业高级工（三级）标准”，并借鉴世界技能大赛及山西省赛相关项目的命题方法和考核内容，适当增加相关新知识、新技术、新设备、新技能等内容，进行统一命题。</w:t>
      </w:r>
    </w:p>
    <w:p w14:paraId="61E2DB16">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3.试题公布方式</w:t>
      </w:r>
    </w:p>
    <w:p w14:paraId="0E7574FC">
      <w:pPr>
        <w:autoSpaceDE w:val="0"/>
        <w:autoSpaceDN w:val="0"/>
        <w:ind w:firstLine="396" w:firstLineChars="200"/>
        <w:textAlignment w:val="baseline"/>
        <w:rPr>
          <w:rFonts w:ascii="宋体" w:hAnsi="宋体" w:cs="宋体"/>
          <w:color w:val="FF0000"/>
          <w:spacing w:val="-6"/>
          <w:szCs w:val="21"/>
        </w:rPr>
      </w:pPr>
      <w:r>
        <w:rPr>
          <w:rFonts w:hint="eastAsia" w:ascii="宋体" w:hAnsi="宋体" w:cs="宋体"/>
          <w:spacing w:val="-6"/>
          <w:szCs w:val="21"/>
        </w:rPr>
        <w:t>竞赛采取公开竞赛样题的方式进行。本项目设施、设备、竞赛样题全部公开。实际考核试题及评分标准由裁判长在比赛当天公布。</w:t>
      </w:r>
    </w:p>
    <w:p w14:paraId="037F219C">
      <w:pPr>
        <w:adjustRightInd w:val="0"/>
        <w:ind w:firstLine="538" w:firstLineChars="200"/>
        <w:outlineLvl w:val="1"/>
        <w:rPr>
          <w:b/>
          <w:bCs/>
          <w:spacing w:val="-6"/>
          <w:sz w:val="28"/>
          <w:szCs w:val="28"/>
        </w:rPr>
      </w:pPr>
      <w:bookmarkStart w:id="19" w:name="_Toc10151"/>
      <w:r>
        <w:rPr>
          <w:rFonts w:hint="eastAsia"/>
          <w:b/>
          <w:bCs/>
          <w:spacing w:val="-6"/>
          <w:sz w:val="28"/>
          <w:szCs w:val="28"/>
        </w:rPr>
        <w:t>（二）比赛时间及试题具体内容</w:t>
      </w:r>
      <w:bookmarkEnd w:id="19"/>
    </w:p>
    <w:p w14:paraId="2D5E3F4A">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1.比赛时间安排</w:t>
      </w:r>
    </w:p>
    <w:p w14:paraId="6F72CA95">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各参赛队集中进行比赛，按照任务要求实际完成各项任务并评分。比赛按竞赛日程有序进行，内容包含竞赛规则讲解、选手检查设备及读题、竞赛实操、任务评判等环节，总时长120分钟，具体如表2所示。</w:t>
      </w:r>
    </w:p>
    <w:p w14:paraId="27F711D0">
      <w:pPr>
        <w:autoSpaceDE w:val="0"/>
        <w:autoSpaceDN w:val="0"/>
        <w:ind w:firstLine="396" w:firstLineChars="200"/>
        <w:jc w:val="center"/>
        <w:textAlignment w:val="baseline"/>
        <w:rPr>
          <w:rFonts w:ascii="宋体" w:hAnsi="宋体" w:cs="宋体"/>
          <w:spacing w:val="-6"/>
          <w:szCs w:val="21"/>
        </w:rPr>
      </w:pPr>
      <w:r>
        <w:rPr>
          <w:rFonts w:hint="eastAsia" w:ascii="宋体" w:hAnsi="宋体" w:cs="宋体"/>
          <w:spacing w:val="-6"/>
          <w:szCs w:val="21"/>
        </w:rPr>
        <w:t>表2 比赛时间设置</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5305"/>
        <w:gridCol w:w="2728"/>
      </w:tblGrid>
      <w:tr w14:paraId="4FFD2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5" w:type="dxa"/>
            <w:vAlign w:val="center"/>
          </w:tcPr>
          <w:p w14:paraId="3379FA21">
            <w:pPr>
              <w:autoSpaceDE w:val="0"/>
              <w:autoSpaceDN w:val="0"/>
              <w:jc w:val="center"/>
              <w:textAlignment w:val="baseline"/>
              <w:rPr>
                <w:rFonts w:ascii="宋体" w:hAnsi="宋体" w:cs="宋体"/>
                <w:spacing w:val="-6"/>
                <w:szCs w:val="21"/>
              </w:rPr>
            </w:pPr>
            <w:r>
              <w:rPr>
                <w:rFonts w:hint="eastAsia" w:ascii="宋体" w:hAnsi="宋体" w:cs="宋体"/>
                <w:spacing w:val="-6"/>
                <w:szCs w:val="21"/>
              </w:rPr>
              <w:t>序号</w:t>
            </w:r>
          </w:p>
        </w:tc>
        <w:tc>
          <w:tcPr>
            <w:tcW w:w="5305" w:type="dxa"/>
            <w:vAlign w:val="center"/>
          </w:tcPr>
          <w:p w14:paraId="6A42AF6B">
            <w:pPr>
              <w:autoSpaceDE w:val="0"/>
              <w:autoSpaceDN w:val="0"/>
              <w:jc w:val="center"/>
              <w:textAlignment w:val="baseline"/>
              <w:rPr>
                <w:rFonts w:ascii="宋体" w:hAnsi="宋体" w:cs="宋体"/>
                <w:spacing w:val="-6"/>
                <w:szCs w:val="21"/>
              </w:rPr>
            </w:pPr>
            <w:r>
              <w:rPr>
                <w:rFonts w:hint="eastAsia" w:ascii="宋体" w:hAnsi="宋体" w:cs="宋体"/>
                <w:spacing w:val="-6"/>
                <w:szCs w:val="21"/>
              </w:rPr>
              <w:t>项目</w:t>
            </w:r>
          </w:p>
        </w:tc>
        <w:tc>
          <w:tcPr>
            <w:tcW w:w="2728" w:type="dxa"/>
            <w:vAlign w:val="center"/>
          </w:tcPr>
          <w:p w14:paraId="7542E30F">
            <w:pPr>
              <w:autoSpaceDE w:val="0"/>
              <w:autoSpaceDN w:val="0"/>
              <w:ind w:firstLine="396" w:firstLineChars="200"/>
              <w:jc w:val="center"/>
              <w:textAlignment w:val="baseline"/>
              <w:rPr>
                <w:rFonts w:ascii="宋体" w:hAnsi="宋体" w:cs="宋体"/>
                <w:spacing w:val="-6"/>
                <w:szCs w:val="21"/>
              </w:rPr>
            </w:pPr>
            <w:r>
              <w:rPr>
                <w:rFonts w:hint="eastAsia" w:ascii="宋体" w:hAnsi="宋体" w:cs="宋体"/>
                <w:spacing w:val="-6"/>
                <w:szCs w:val="21"/>
              </w:rPr>
              <w:t>时长（分钟）</w:t>
            </w:r>
          </w:p>
        </w:tc>
      </w:tr>
      <w:tr w14:paraId="2CD34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25" w:type="dxa"/>
            <w:vAlign w:val="center"/>
          </w:tcPr>
          <w:p w14:paraId="35ECAB55">
            <w:pPr>
              <w:autoSpaceDE w:val="0"/>
              <w:autoSpaceDN w:val="0"/>
              <w:jc w:val="center"/>
              <w:textAlignment w:val="baseline"/>
              <w:rPr>
                <w:rFonts w:ascii="宋体" w:hAnsi="宋体" w:cs="宋体"/>
                <w:spacing w:val="-6"/>
                <w:szCs w:val="21"/>
              </w:rPr>
            </w:pPr>
            <w:r>
              <w:rPr>
                <w:rFonts w:hint="eastAsia" w:ascii="宋体" w:hAnsi="宋体" w:cs="宋体"/>
                <w:spacing w:val="-6"/>
                <w:szCs w:val="21"/>
              </w:rPr>
              <w:t>1</w:t>
            </w:r>
          </w:p>
        </w:tc>
        <w:tc>
          <w:tcPr>
            <w:tcW w:w="5305" w:type="dxa"/>
            <w:vAlign w:val="center"/>
          </w:tcPr>
          <w:p w14:paraId="7B0C5B40">
            <w:pPr>
              <w:autoSpaceDE w:val="0"/>
              <w:autoSpaceDN w:val="0"/>
              <w:jc w:val="center"/>
              <w:textAlignment w:val="baseline"/>
              <w:rPr>
                <w:rFonts w:ascii="宋体" w:hAnsi="宋体" w:cs="宋体"/>
                <w:spacing w:val="-6"/>
                <w:szCs w:val="21"/>
              </w:rPr>
            </w:pPr>
            <w:r>
              <w:rPr>
                <w:rFonts w:ascii="宋体" w:hAnsi="宋体" w:cs="宋体"/>
                <w:spacing w:val="-6"/>
                <w:szCs w:val="21"/>
              </w:rPr>
              <w:t>竞赛规则讲解、选手检查设备及读题</w:t>
            </w:r>
          </w:p>
        </w:tc>
        <w:tc>
          <w:tcPr>
            <w:tcW w:w="2728" w:type="dxa"/>
            <w:vAlign w:val="center"/>
          </w:tcPr>
          <w:p w14:paraId="7D6F24CF">
            <w:pPr>
              <w:autoSpaceDE w:val="0"/>
              <w:autoSpaceDN w:val="0"/>
              <w:jc w:val="center"/>
              <w:textAlignment w:val="baseline"/>
              <w:rPr>
                <w:rFonts w:ascii="宋体" w:hAnsi="宋体" w:cs="宋体"/>
                <w:spacing w:val="-6"/>
                <w:szCs w:val="21"/>
              </w:rPr>
            </w:pPr>
            <w:r>
              <w:rPr>
                <w:rFonts w:hint="eastAsia" w:ascii="宋体" w:hAnsi="宋体" w:cs="宋体"/>
                <w:spacing w:val="-6"/>
                <w:szCs w:val="21"/>
              </w:rPr>
              <w:t>每个模块3分钟</w:t>
            </w:r>
          </w:p>
          <w:p w14:paraId="1EEC5C91">
            <w:pPr>
              <w:autoSpaceDE w:val="0"/>
              <w:autoSpaceDN w:val="0"/>
              <w:jc w:val="center"/>
              <w:textAlignment w:val="baseline"/>
              <w:rPr>
                <w:rFonts w:ascii="宋体" w:hAnsi="宋体" w:cs="宋体"/>
                <w:spacing w:val="-6"/>
                <w:szCs w:val="21"/>
              </w:rPr>
            </w:pPr>
            <w:r>
              <w:rPr>
                <w:rFonts w:hint="eastAsia" w:ascii="宋体" w:hAnsi="宋体" w:cs="宋体"/>
                <w:spacing w:val="-6"/>
                <w:szCs w:val="21"/>
              </w:rPr>
              <w:t>不计入作业时间</w:t>
            </w:r>
          </w:p>
        </w:tc>
      </w:tr>
      <w:tr w14:paraId="5079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25" w:type="dxa"/>
            <w:vAlign w:val="center"/>
          </w:tcPr>
          <w:p w14:paraId="67EEDFC5">
            <w:pPr>
              <w:autoSpaceDE w:val="0"/>
              <w:autoSpaceDN w:val="0"/>
              <w:jc w:val="center"/>
              <w:textAlignment w:val="baseline"/>
              <w:rPr>
                <w:rFonts w:ascii="宋体" w:hAnsi="宋体" w:cs="宋体"/>
                <w:spacing w:val="-6"/>
                <w:szCs w:val="21"/>
              </w:rPr>
            </w:pPr>
            <w:r>
              <w:rPr>
                <w:rFonts w:hint="eastAsia" w:ascii="宋体" w:hAnsi="宋体" w:cs="宋体"/>
                <w:spacing w:val="-6"/>
                <w:szCs w:val="21"/>
              </w:rPr>
              <w:t>2</w:t>
            </w:r>
          </w:p>
        </w:tc>
        <w:tc>
          <w:tcPr>
            <w:tcW w:w="5305" w:type="dxa"/>
            <w:vAlign w:val="center"/>
          </w:tcPr>
          <w:p w14:paraId="52E1BD77">
            <w:pPr>
              <w:autoSpaceDE w:val="0"/>
              <w:autoSpaceDN w:val="0"/>
              <w:jc w:val="center"/>
              <w:textAlignment w:val="baseline"/>
              <w:rPr>
                <w:rFonts w:ascii="宋体" w:hAnsi="宋体" w:cs="宋体"/>
                <w:spacing w:val="-6"/>
                <w:szCs w:val="21"/>
              </w:rPr>
            </w:pPr>
            <w:r>
              <w:rPr>
                <w:rFonts w:hint="eastAsia" w:ascii="宋体" w:hAnsi="宋体" w:cs="宋体"/>
                <w:spacing w:val="-6"/>
                <w:szCs w:val="21"/>
              </w:rPr>
              <w:t>模块</w:t>
            </w:r>
            <w:r>
              <w:rPr>
                <w:rFonts w:ascii="宋体" w:hAnsi="宋体" w:cs="宋体"/>
                <w:spacing w:val="-6"/>
                <w:szCs w:val="21"/>
              </w:rPr>
              <w:t>A</w:t>
            </w:r>
            <w:r>
              <w:rPr>
                <w:rFonts w:hint="eastAsia" w:ascii="宋体" w:hAnsi="宋体" w:cs="宋体"/>
                <w:spacing w:val="-6"/>
                <w:szCs w:val="21"/>
              </w:rPr>
              <w:t>实操竞赛</w:t>
            </w:r>
          </w:p>
        </w:tc>
        <w:tc>
          <w:tcPr>
            <w:tcW w:w="2728" w:type="dxa"/>
            <w:vAlign w:val="center"/>
          </w:tcPr>
          <w:p w14:paraId="0100BB17">
            <w:pPr>
              <w:autoSpaceDE w:val="0"/>
              <w:autoSpaceDN w:val="0"/>
              <w:jc w:val="center"/>
              <w:textAlignment w:val="baseline"/>
              <w:rPr>
                <w:rFonts w:ascii="宋体" w:hAnsi="宋体" w:cs="宋体"/>
                <w:spacing w:val="-6"/>
                <w:szCs w:val="21"/>
              </w:rPr>
            </w:pPr>
            <w:r>
              <w:rPr>
                <w:rFonts w:hint="eastAsia" w:ascii="宋体" w:hAnsi="宋体" w:cs="宋体"/>
                <w:spacing w:val="-6"/>
                <w:szCs w:val="21"/>
              </w:rPr>
              <w:t>60</w:t>
            </w:r>
          </w:p>
        </w:tc>
      </w:tr>
      <w:tr w14:paraId="30AE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25" w:type="dxa"/>
            <w:vAlign w:val="center"/>
          </w:tcPr>
          <w:p w14:paraId="7548D986">
            <w:pPr>
              <w:autoSpaceDE w:val="0"/>
              <w:autoSpaceDN w:val="0"/>
              <w:jc w:val="center"/>
              <w:textAlignment w:val="baseline"/>
              <w:rPr>
                <w:rFonts w:ascii="宋体" w:hAnsi="宋体" w:cs="宋体"/>
                <w:spacing w:val="-6"/>
                <w:szCs w:val="21"/>
              </w:rPr>
            </w:pPr>
            <w:r>
              <w:rPr>
                <w:rFonts w:hint="eastAsia" w:ascii="宋体" w:hAnsi="宋体" w:cs="宋体"/>
                <w:spacing w:val="-6"/>
                <w:szCs w:val="21"/>
              </w:rPr>
              <w:t>3</w:t>
            </w:r>
          </w:p>
        </w:tc>
        <w:tc>
          <w:tcPr>
            <w:tcW w:w="5305" w:type="dxa"/>
            <w:vAlign w:val="center"/>
          </w:tcPr>
          <w:p w14:paraId="445589BA">
            <w:pPr>
              <w:autoSpaceDE w:val="0"/>
              <w:autoSpaceDN w:val="0"/>
              <w:jc w:val="center"/>
              <w:textAlignment w:val="baseline"/>
              <w:rPr>
                <w:rFonts w:ascii="宋体" w:hAnsi="宋体" w:cs="宋体"/>
                <w:spacing w:val="-6"/>
                <w:szCs w:val="21"/>
              </w:rPr>
            </w:pPr>
            <w:r>
              <w:rPr>
                <w:rFonts w:hint="eastAsia" w:ascii="宋体" w:hAnsi="宋体" w:cs="宋体"/>
                <w:spacing w:val="-6"/>
                <w:szCs w:val="21"/>
              </w:rPr>
              <w:t>模块B实操竞赛</w:t>
            </w:r>
          </w:p>
        </w:tc>
        <w:tc>
          <w:tcPr>
            <w:tcW w:w="2728" w:type="dxa"/>
            <w:vAlign w:val="center"/>
          </w:tcPr>
          <w:p w14:paraId="3D7560A1">
            <w:pPr>
              <w:autoSpaceDE w:val="0"/>
              <w:autoSpaceDN w:val="0"/>
              <w:jc w:val="center"/>
              <w:textAlignment w:val="baseline"/>
              <w:rPr>
                <w:rFonts w:ascii="宋体" w:hAnsi="宋体" w:cs="宋体"/>
                <w:spacing w:val="-6"/>
                <w:szCs w:val="21"/>
              </w:rPr>
            </w:pPr>
            <w:r>
              <w:rPr>
                <w:rFonts w:hint="eastAsia" w:ascii="宋体" w:hAnsi="宋体" w:cs="宋体"/>
                <w:spacing w:val="-6"/>
                <w:szCs w:val="21"/>
              </w:rPr>
              <w:t>30</w:t>
            </w:r>
          </w:p>
        </w:tc>
      </w:tr>
      <w:tr w14:paraId="0B5B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825" w:type="dxa"/>
            <w:vAlign w:val="center"/>
          </w:tcPr>
          <w:p w14:paraId="07E200C5">
            <w:pPr>
              <w:autoSpaceDE w:val="0"/>
              <w:autoSpaceDN w:val="0"/>
              <w:jc w:val="center"/>
              <w:textAlignment w:val="baseline"/>
              <w:rPr>
                <w:rFonts w:ascii="宋体" w:hAnsi="宋体" w:cs="宋体"/>
                <w:spacing w:val="-6"/>
                <w:szCs w:val="21"/>
              </w:rPr>
            </w:pPr>
            <w:r>
              <w:rPr>
                <w:rFonts w:hint="eastAsia" w:ascii="宋体" w:hAnsi="宋体" w:cs="宋体"/>
                <w:spacing w:val="-6"/>
                <w:szCs w:val="21"/>
              </w:rPr>
              <w:t>4</w:t>
            </w:r>
          </w:p>
        </w:tc>
        <w:tc>
          <w:tcPr>
            <w:tcW w:w="5305" w:type="dxa"/>
            <w:vAlign w:val="center"/>
          </w:tcPr>
          <w:p w14:paraId="669C6B56">
            <w:pPr>
              <w:autoSpaceDE w:val="0"/>
              <w:autoSpaceDN w:val="0"/>
              <w:jc w:val="center"/>
              <w:textAlignment w:val="baseline"/>
              <w:rPr>
                <w:rFonts w:ascii="宋体" w:hAnsi="宋体" w:cs="宋体"/>
                <w:spacing w:val="-6"/>
                <w:szCs w:val="21"/>
              </w:rPr>
            </w:pPr>
            <w:r>
              <w:rPr>
                <w:rFonts w:hint="eastAsia" w:ascii="宋体" w:hAnsi="宋体" w:cs="宋体"/>
                <w:spacing w:val="-6"/>
                <w:szCs w:val="21"/>
              </w:rPr>
              <w:t>模块C实操竞赛</w:t>
            </w:r>
          </w:p>
        </w:tc>
        <w:tc>
          <w:tcPr>
            <w:tcW w:w="2728" w:type="dxa"/>
            <w:vAlign w:val="center"/>
          </w:tcPr>
          <w:p w14:paraId="5B06A180">
            <w:pPr>
              <w:autoSpaceDE w:val="0"/>
              <w:autoSpaceDN w:val="0"/>
              <w:jc w:val="center"/>
              <w:textAlignment w:val="baseline"/>
              <w:rPr>
                <w:rFonts w:ascii="宋体" w:hAnsi="宋体" w:cs="宋体"/>
                <w:spacing w:val="-6"/>
                <w:szCs w:val="21"/>
              </w:rPr>
            </w:pPr>
            <w:r>
              <w:rPr>
                <w:rFonts w:hint="eastAsia" w:ascii="宋体" w:hAnsi="宋体" w:cs="宋体"/>
                <w:spacing w:val="-6"/>
                <w:szCs w:val="21"/>
              </w:rPr>
              <w:t>30</w:t>
            </w:r>
          </w:p>
        </w:tc>
      </w:tr>
      <w:tr w14:paraId="3745F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130" w:type="dxa"/>
            <w:gridSpan w:val="2"/>
            <w:vAlign w:val="center"/>
          </w:tcPr>
          <w:p w14:paraId="596661BC">
            <w:pPr>
              <w:autoSpaceDE w:val="0"/>
              <w:autoSpaceDN w:val="0"/>
              <w:jc w:val="center"/>
              <w:textAlignment w:val="baseline"/>
              <w:rPr>
                <w:rFonts w:ascii="宋体" w:hAnsi="宋体" w:cs="宋体"/>
                <w:spacing w:val="-6"/>
                <w:szCs w:val="21"/>
              </w:rPr>
            </w:pPr>
            <w:r>
              <w:rPr>
                <w:rFonts w:hint="eastAsia" w:ascii="宋体" w:hAnsi="宋体" w:cs="宋体"/>
                <w:spacing w:val="-6"/>
                <w:szCs w:val="21"/>
              </w:rPr>
              <w:t>合计</w:t>
            </w:r>
          </w:p>
        </w:tc>
        <w:tc>
          <w:tcPr>
            <w:tcW w:w="2728" w:type="dxa"/>
            <w:vAlign w:val="center"/>
          </w:tcPr>
          <w:p w14:paraId="6307F038">
            <w:pPr>
              <w:autoSpaceDE w:val="0"/>
              <w:autoSpaceDN w:val="0"/>
              <w:jc w:val="center"/>
              <w:textAlignment w:val="baseline"/>
              <w:rPr>
                <w:rFonts w:ascii="宋体" w:hAnsi="宋体" w:cs="宋体"/>
                <w:spacing w:val="-6"/>
                <w:szCs w:val="21"/>
              </w:rPr>
            </w:pPr>
            <w:r>
              <w:rPr>
                <w:rFonts w:hint="eastAsia" w:ascii="宋体" w:hAnsi="宋体" w:cs="宋体"/>
                <w:spacing w:val="-6"/>
                <w:szCs w:val="21"/>
              </w:rPr>
              <w:t>120</w:t>
            </w:r>
          </w:p>
        </w:tc>
      </w:tr>
    </w:tbl>
    <w:p w14:paraId="7F432820">
      <w:pPr>
        <w:pStyle w:val="2"/>
      </w:pPr>
    </w:p>
    <w:p w14:paraId="1EF3F7DE">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2.具体试题内容</w:t>
      </w:r>
    </w:p>
    <w:p w14:paraId="0C25602D">
      <w:pPr>
        <w:autoSpaceDE w:val="0"/>
        <w:autoSpaceDN w:val="0"/>
        <w:ind w:firstLine="396" w:firstLineChars="200"/>
        <w:jc w:val="center"/>
        <w:textAlignment w:val="baseline"/>
        <w:rPr>
          <w:rFonts w:ascii="宋体" w:hAnsi="宋体" w:cs="宋体"/>
          <w:spacing w:val="-6"/>
          <w:szCs w:val="21"/>
        </w:rPr>
      </w:pPr>
      <w:r>
        <w:rPr>
          <w:rFonts w:hint="eastAsia" w:ascii="宋体" w:hAnsi="宋体" w:cs="宋体"/>
          <w:spacing w:val="-6"/>
          <w:szCs w:val="21"/>
        </w:rPr>
        <w:t>表3 比赛试题及试题内容表</w:t>
      </w:r>
    </w:p>
    <w:tbl>
      <w:tblPr>
        <w:tblStyle w:val="18"/>
        <w:tblpPr w:leftFromText="180" w:rightFromText="180" w:vertAnchor="text" w:tblpXSpec="center" w:tblpY="1"/>
        <w:tblOverlap w:val="never"/>
        <w:tblW w:w="477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7526"/>
      </w:tblGrid>
      <w:tr w14:paraId="31C6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1" w:type="pct"/>
            <w:vAlign w:val="center"/>
          </w:tcPr>
          <w:p w14:paraId="1A2CA6C5">
            <w:pPr>
              <w:autoSpaceDE w:val="0"/>
              <w:autoSpaceDN w:val="0"/>
              <w:jc w:val="center"/>
              <w:textAlignment w:val="baseline"/>
              <w:rPr>
                <w:rFonts w:ascii="宋体" w:hAnsi="宋体" w:cs="宋体"/>
                <w:b/>
                <w:spacing w:val="-6"/>
                <w:szCs w:val="21"/>
              </w:rPr>
            </w:pPr>
            <w:r>
              <w:rPr>
                <w:rFonts w:ascii="宋体" w:hAnsi="宋体" w:cs="宋体"/>
                <w:b/>
                <w:spacing w:val="-6"/>
                <w:szCs w:val="21"/>
              </w:rPr>
              <w:t>竞赛任务</w:t>
            </w:r>
          </w:p>
        </w:tc>
        <w:tc>
          <w:tcPr>
            <w:tcW w:w="4239" w:type="pct"/>
            <w:vAlign w:val="center"/>
          </w:tcPr>
          <w:p w14:paraId="6118F53E">
            <w:pPr>
              <w:autoSpaceDE w:val="0"/>
              <w:autoSpaceDN w:val="0"/>
              <w:ind w:firstLine="398" w:firstLineChars="200"/>
              <w:jc w:val="center"/>
              <w:textAlignment w:val="baseline"/>
              <w:rPr>
                <w:rFonts w:ascii="宋体" w:hAnsi="宋体" w:cs="宋体"/>
                <w:b/>
                <w:spacing w:val="-6"/>
                <w:szCs w:val="21"/>
              </w:rPr>
            </w:pPr>
            <w:r>
              <w:rPr>
                <w:rFonts w:ascii="宋体" w:hAnsi="宋体" w:cs="宋体"/>
                <w:b/>
                <w:spacing w:val="-6"/>
                <w:szCs w:val="21"/>
              </w:rPr>
              <w:t>竞赛内容</w:t>
            </w:r>
          </w:p>
        </w:tc>
      </w:tr>
      <w:tr w14:paraId="339F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pct"/>
            <w:vAlign w:val="center"/>
          </w:tcPr>
          <w:p w14:paraId="273688EC">
            <w:pPr>
              <w:autoSpaceDE w:val="0"/>
              <w:autoSpaceDN w:val="0"/>
              <w:jc w:val="center"/>
              <w:textAlignment w:val="baseline"/>
              <w:rPr>
                <w:rFonts w:ascii="宋体" w:hAnsi="宋体" w:cs="宋体"/>
                <w:bCs/>
                <w:spacing w:val="-6"/>
                <w:szCs w:val="21"/>
              </w:rPr>
            </w:pPr>
            <w:r>
              <w:rPr>
                <w:rFonts w:hint="eastAsia" w:ascii="宋体" w:hAnsi="宋体" w:cs="宋体"/>
                <w:bCs/>
                <w:spacing w:val="-6"/>
                <w:szCs w:val="21"/>
              </w:rPr>
              <w:t>模块A：</w:t>
            </w:r>
          </w:p>
          <w:p w14:paraId="2FA664FB">
            <w:pPr>
              <w:autoSpaceDE w:val="0"/>
              <w:autoSpaceDN w:val="0"/>
              <w:jc w:val="center"/>
              <w:textAlignment w:val="baseline"/>
              <w:rPr>
                <w:rFonts w:ascii="宋体" w:hAnsi="宋体" w:cs="宋体"/>
                <w:bCs/>
                <w:spacing w:val="-6"/>
                <w:szCs w:val="21"/>
              </w:rPr>
            </w:pPr>
            <w:r>
              <w:rPr>
                <w:rFonts w:hint="eastAsia" w:ascii="宋体" w:hAnsi="宋体" w:cs="宋体"/>
                <w:bCs/>
                <w:spacing w:val="-6"/>
                <w:szCs w:val="21"/>
              </w:rPr>
              <w:t>智能网联汽车智能化装备装调</w:t>
            </w:r>
          </w:p>
        </w:tc>
        <w:tc>
          <w:tcPr>
            <w:tcW w:w="4239" w:type="pct"/>
            <w:vAlign w:val="center"/>
          </w:tcPr>
          <w:p w14:paraId="6D38C0C0">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1.根据任务要求，进行汽车智能化系统的状态检查，完成智能化部件（包括激光雷达、组合导航（GPS和惯导）、毫米波雷达、环视摄像头、前视摄像头、自动驾驶处理控制单元等）的安装与线路连接；</w:t>
            </w:r>
          </w:p>
          <w:p w14:paraId="0AF63F75">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2.根据任务要求，对汽车智能化部件（包含各环境感知模块、自动驾驶控制单元、线控底盘等）和车路协同模块进行调试和故障排除（发现故障必须先报告裁判员，裁判员确认后再由选手自行恢复故障）；</w:t>
            </w:r>
          </w:p>
          <w:p w14:paraId="41D6C4A7">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3.根据任务要求，完成各环境感知模块数据的读取，并排除相关故障；</w:t>
            </w:r>
          </w:p>
          <w:p w14:paraId="468343B0">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4.根据任务要求，完成线控底盘CAN通讯数据的收发与解析；</w:t>
            </w:r>
          </w:p>
          <w:p w14:paraId="3F062A30">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5.根据任务要求，完成车路协同模块路端设备、车端设备通信连接调试。</w:t>
            </w:r>
          </w:p>
        </w:tc>
      </w:tr>
      <w:tr w14:paraId="4BEDA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trPr>
        <w:tc>
          <w:tcPr>
            <w:tcW w:w="761" w:type="pct"/>
            <w:vAlign w:val="center"/>
          </w:tcPr>
          <w:p w14:paraId="50CB9730">
            <w:pPr>
              <w:autoSpaceDE w:val="0"/>
              <w:autoSpaceDN w:val="0"/>
              <w:jc w:val="center"/>
              <w:textAlignment w:val="baseline"/>
              <w:rPr>
                <w:rFonts w:ascii="宋体" w:hAnsi="宋体" w:cs="宋体"/>
                <w:spacing w:val="-6"/>
                <w:szCs w:val="21"/>
              </w:rPr>
            </w:pPr>
            <w:r>
              <w:rPr>
                <w:rFonts w:hint="eastAsia" w:ascii="宋体" w:hAnsi="宋体" w:cs="宋体"/>
                <w:bCs/>
                <w:spacing w:val="-6"/>
                <w:szCs w:val="21"/>
              </w:rPr>
              <w:t>模块B</w:t>
            </w:r>
            <w:r>
              <w:rPr>
                <w:rFonts w:hint="eastAsia" w:ascii="宋体" w:hAnsi="宋体" w:cs="宋体"/>
                <w:spacing w:val="-6"/>
                <w:szCs w:val="21"/>
              </w:rPr>
              <w:t>：</w:t>
            </w:r>
          </w:p>
          <w:p w14:paraId="09A20D1D">
            <w:pPr>
              <w:autoSpaceDE w:val="0"/>
              <w:autoSpaceDN w:val="0"/>
              <w:jc w:val="center"/>
              <w:textAlignment w:val="baseline"/>
              <w:rPr>
                <w:rFonts w:ascii="宋体" w:hAnsi="宋体" w:cs="宋体"/>
                <w:bCs/>
                <w:spacing w:val="-6"/>
                <w:szCs w:val="21"/>
              </w:rPr>
            </w:pPr>
            <w:r>
              <w:rPr>
                <w:rFonts w:hint="eastAsia" w:ascii="宋体" w:hAnsi="宋体" w:cs="宋体"/>
                <w:spacing w:val="-6"/>
                <w:szCs w:val="21"/>
              </w:rPr>
              <w:t>智能网联汽车仿真验证</w:t>
            </w:r>
          </w:p>
        </w:tc>
        <w:tc>
          <w:tcPr>
            <w:tcW w:w="4239" w:type="pct"/>
            <w:vAlign w:val="center"/>
          </w:tcPr>
          <w:p w14:paraId="3A971149">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1.根据任务要求，完成车路协同设备配置、车辆动力学模型编辑，完成车辆传感器参数的验证测试与仿真校验；</w:t>
            </w:r>
          </w:p>
          <w:p w14:paraId="14D2C2C3">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2.根据任务要求，完成测试场景的搭建；</w:t>
            </w:r>
          </w:p>
          <w:p w14:paraId="58C74573">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3.根据任务要求，在所提供的场景中完成车速控制、紧急制动控制、红绿灯启停、停障、超越前车、车道保持、变换车道、车队跟随等功能；</w:t>
            </w:r>
          </w:p>
          <w:p w14:paraId="18786EB3">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4.根据任务要求，完成道路仿真测试。</w:t>
            </w:r>
          </w:p>
        </w:tc>
      </w:tr>
      <w:tr w14:paraId="0C81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pct"/>
            <w:vAlign w:val="center"/>
          </w:tcPr>
          <w:p w14:paraId="3FFFA39F">
            <w:pPr>
              <w:autoSpaceDE w:val="0"/>
              <w:autoSpaceDN w:val="0"/>
              <w:jc w:val="center"/>
              <w:textAlignment w:val="baseline"/>
              <w:rPr>
                <w:rFonts w:ascii="宋体" w:hAnsi="宋体" w:cs="宋体"/>
                <w:bCs/>
                <w:spacing w:val="-6"/>
                <w:szCs w:val="21"/>
              </w:rPr>
            </w:pPr>
            <w:r>
              <w:rPr>
                <w:rFonts w:hint="eastAsia" w:ascii="宋体" w:hAnsi="宋体" w:cs="宋体"/>
                <w:bCs/>
                <w:spacing w:val="-6"/>
                <w:szCs w:val="21"/>
              </w:rPr>
              <w:t>模块C：</w:t>
            </w:r>
          </w:p>
          <w:p w14:paraId="77434BA5">
            <w:pPr>
              <w:autoSpaceDE w:val="0"/>
              <w:autoSpaceDN w:val="0"/>
              <w:jc w:val="center"/>
              <w:textAlignment w:val="baseline"/>
              <w:rPr>
                <w:rFonts w:ascii="宋体" w:hAnsi="宋体" w:cs="宋体"/>
                <w:bCs/>
                <w:spacing w:val="-6"/>
                <w:szCs w:val="21"/>
              </w:rPr>
            </w:pPr>
            <w:r>
              <w:rPr>
                <w:rFonts w:hint="eastAsia" w:ascii="宋体" w:hAnsi="宋体" w:cs="宋体"/>
                <w:spacing w:val="-6"/>
                <w:szCs w:val="21"/>
              </w:rPr>
              <w:t>智能网联汽车综合道路测试</w:t>
            </w:r>
          </w:p>
        </w:tc>
        <w:tc>
          <w:tcPr>
            <w:tcW w:w="4239" w:type="pct"/>
            <w:vAlign w:val="center"/>
          </w:tcPr>
          <w:p w14:paraId="5C82912E">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1.根据任务要求，完成传感器融合标定、行驶轨迹录制、地图创建与编辑、主动避障测试；</w:t>
            </w:r>
          </w:p>
          <w:p w14:paraId="64591CA4">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2.根据任务要求，完成摄像头标定、车道保持测试；</w:t>
            </w:r>
          </w:p>
          <w:p w14:paraId="1985C608">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3.根据任务要求，完成车路协同模块以及自动驾驶车辆的配置与调试；</w:t>
            </w:r>
          </w:p>
          <w:p w14:paraId="74A394CC">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4.根据任务要求，完成车路协同模块发送指令的逻辑设定；</w:t>
            </w:r>
          </w:p>
          <w:p w14:paraId="0BEB1EDB">
            <w:pPr>
              <w:autoSpaceDE w:val="0"/>
              <w:autoSpaceDN w:val="0"/>
              <w:ind w:firstLine="396" w:firstLineChars="200"/>
              <w:textAlignment w:val="baseline"/>
              <w:rPr>
                <w:rFonts w:ascii="宋体" w:hAnsi="宋体" w:cs="宋体"/>
                <w:bCs/>
                <w:spacing w:val="-6"/>
                <w:szCs w:val="21"/>
              </w:rPr>
            </w:pPr>
            <w:r>
              <w:rPr>
                <w:rFonts w:hint="eastAsia" w:ascii="宋体" w:hAnsi="宋体" w:cs="宋体"/>
                <w:bCs/>
                <w:spacing w:val="-6"/>
                <w:szCs w:val="21"/>
              </w:rPr>
              <w:t>5.根据任务要求，自动驾驶车辆能根据具体场景要求完成红绿灯启停、车道切换等动作。</w:t>
            </w:r>
          </w:p>
        </w:tc>
      </w:tr>
    </w:tbl>
    <w:p w14:paraId="73C5CCBB">
      <w:pPr>
        <w:pStyle w:val="2"/>
        <w:ind w:firstLine="420" w:firstLineChars="200"/>
      </w:pPr>
      <w:r>
        <w:rPr>
          <w:rFonts w:hint="eastAsia"/>
        </w:rPr>
        <w:t>赛题内容较样题将更新30%以上，比赛未尽事宜将在补充通知或赛前项目技术说明中予以说明。</w:t>
      </w:r>
    </w:p>
    <w:p w14:paraId="5B12EBE4">
      <w:pPr>
        <w:pStyle w:val="10"/>
        <w:spacing w:after="0" w:line="240" w:lineRule="auto"/>
        <w:ind w:left="0" w:leftChars="0" w:firstLine="420" w:firstLineChars="200"/>
        <w:outlineLvl w:val="1"/>
        <w:rPr>
          <w:b/>
          <w:bCs/>
          <w:color w:val="000000" w:themeColor="text1"/>
          <w:spacing w:val="-6"/>
          <w:sz w:val="28"/>
          <w:szCs w:val="28"/>
          <w14:textFill>
            <w14:solidFill>
              <w14:schemeClr w14:val="tx1"/>
            </w14:solidFill>
          </w14:textFill>
        </w:rPr>
      </w:pPr>
      <w:bookmarkStart w:id="20" w:name="_Toc31357"/>
      <w:bookmarkStart w:id="21" w:name="_Toc129"/>
      <w:r>
        <w:rPr>
          <w:rFonts w:hint="eastAsia"/>
        </w:rPr>
        <w:fldChar w:fldCharType="begin"/>
      </w:r>
      <w:r>
        <w:instrText xml:space="preserve"> HYPERLINK \l "_Toc24329" </w:instrText>
      </w:r>
      <w:r>
        <w:rPr>
          <w:rFonts w:hint="eastAsia"/>
        </w:rPr>
        <w:fldChar w:fldCharType="separate"/>
      </w:r>
      <w:bookmarkStart w:id="22" w:name="_Toc87011403"/>
      <w:r>
        <w:rPr>
          <w:rFonts w:hint="eastAsia"/>
          <w:b/>
          <w:bCs/>
          <w:color w:val="000000" w:themeColor="text1"/>
          <w:spacing w:val="-6"/>
          <w:sz w:val="28"/>
          <w:szCs w:val="28"/>
          <w14:textFill>
            <w14:solidFill>
              <w14:schemeClr w14:val="tx1"/>
            </w14:solidFill>
          </w14:textFill>
        </w:rPr>
        <w:t>（三）竞赛评判标准</w:t>
      </w:r>
      <w:bookmarkEnd w:id="22"/>
      <w:r>
        <w:rPr>
          <w:rFonts w:hint="eastAsia"/>
          <w:b/>
          <w:bCs/>
          <w:color w:val="000000" w:themeColor="text1"/>
          <w:spacing w:val="-6"/>
          <w:sz w:val="28"/>
          <w:szCs w:val="28"/>
          <w14:textFill>
            <w14:solidFill>
              <w14:schemeClr w14:val="tx1"/>
            </w14:solidFill>
          </w14:textFill>
        </w:rPr>
        <w:fldChar w:fldCharType="end"/>
      </w:r>
      <w:bookmarkEnd w:id="20"/>
      <w:bookmarkEnd w:id="21"/>
    </w:p>
    <w:p w14:paraId="1BD4589D">
      <w:pPr>
        <w:autoSpaceDE w:val="0"/>
        <w:autoSpaceDN w:val="0"/>
        <w:ind w:firstLine="396" w:firstLineChars="200"/>
        <w:textAlignment w:val="baseline"/>
        <w:outlineLvl w:val="1"/>
        <w:rPr>
          <w:rFonts w:ascii="宋体" w:hAnsi="宋体" w:cs="宋体"/>
          <w:spacing w:val="-6"/>
          <w:szCs w:val="21"/>
        </w:rPr>
      </w:pPr>
      <w:bookmarkStart w:id="23" w:name="_Toc5805"/>
      <w:r>
        <w:rPr>
          <w:rFonts w:hint="eastAsia" w:ascii="宋体" w:hAnsi="宋体" w:cs="宋体"/>
          <w:spacing w:val="-6"/>
          <w:szCs w:val="21"/>
        </w:rPr>
        <w:t>1.分数权重</w:t>
      </w:r>
      <w:bookmarkEnd w:id="23"/>
    </w:p>
    <w:p w14:paraId="75A8E4DB">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根据任务要求和现场提供的竞赛平台，完成“智能网联汽车智能化装备装调”、“智能网联汽车仿真验证”和“智能网联汽车综合道路测试”三个竞赛任务。各项竞赛任务、竞赛内容及分值权重见表4。</w:t>
      </w:r>
    </w:p>
    <w:p w14:paraId="5E2A4E6F">
      <w:pPr>
        <w:autoSpaceDE w:val="0"/>
        <w:autoSpaceDN w:val="0"/>
        <w:ind w:firstLine="396" w:firstLineChars="200"/>
        <w:jc w:val="center"/>
        <w:textAlignment w:val="baseline"/>
        <w:rPr>
          <w:rFonts w:ascii="宋体" w:hAnsi="宋体" w:cs="宋体"/>
          <w:spacing w:val="-6"/>
          <w:szCs w:val="21"/>
        </w:rPr>
      </w:pPr>
      <w:r>
        <w:rPr>
          <w:rFonts w:hint="eastAsia" w:ascii="宋体" w:hAnsi="宋体" w:cs="宋体"/>
          <w:spacing w:val="-6"/>
          <w:szCs w:val="21"/>
        </w:rPr>
        <w:t>表4 各项竞赛任务、内容及分值权重表</w:t>
      </w:r>
    </w:p>
    <w:tbl>
      <w:tblPr>
        <w:tblStyle w:val="19"/>
        <w:tblW w:w="47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9"/>
        <w:gridCol w:w="1015"/>
        <w:gridCol w:w="2094"/>
        <w:gridCol w:w="1334"/>
      </w:tblGrid>
      <w:tr w14:paraId="3999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82" w:type="pct"/>
            <w:noWrap/>
            <w:vAlign w:val="center"/>
          </w:tcPr>
          <w:p w14:paraId="1B247EBB">
            <w:pPr>
              <w:autoSpaceDE w:val="0"/>
              <w:autoSpaceDN w:val="0"/>
              <w:jc w:val="center"/>
              <w:textAlignment w:val="baseline"/>
              <w:rPr>
                <w:rFonts w:ascii="宋体" w:hAnsi="宋体" w:cs="宋体"/>
                <w:b/>
                <w:bCs/>
                <w:spacing w:val="-6"/>
                <w:szCs w:val="21"/>
              </w:rPr>
            </w:pPr>
            <w:r>
              <w:rPr>
                <w:rFonts w:ascii="宋体" w:hAnsi="宋体" w:cs="宋体"/>
                <w:b/>
                <w:bCs/>
                <w:spacing w:val="-6"/>
                <w:szCs w:val="21"/>
              </w:rPr>
              <w:t>竞赛内容</w:t>
            </w:r>
          </w:p>
        </w:tc>
        <w:tc>
          <w:tcPr>
            <w:tcW w:w="575" w:type="pct"/>
            <w:noWrap/>
            <w:vAlign w:val="center"/>
          </w:tcPr>
          <w:p w14:paraId="389D8B6E">
            <w:pPr>
              <w:autoSpaceDE w:val="0"/>
              <w:autoSpaceDN w:val="0"/>
              <w:jc w:val="center"/>
              <w:textAlignment w:val="baseline"/>
              <w:rPr>
                <w:rFonts w:ascii="宋体" w:hAnsi="宋体" w:cs="宋体"/>
                <w:b/>
                <w:bCs/>
                <w:spacing w:val="-6"/>
                <w:szCs w:val="21"/>
              </w:rPr>
            </w:pPr>
            <w:r>
              <w:rPr>
                <w:rFonts w:ascii="宋体" w:hAnsi="宋体" w:cs="宋体"/>
                <w:b/>
                <w:bCs/>
                <w:spacing w:val="-6"/>
                <w:szCs w:val="21"/>
              </w:rPr>
              <w:t>权重</w:t>
            </w:r>
          </w:p>
        </w:tc>
        <w:tc>
          <w:tcPr>
            <w:tcW w:w="1187" w:type="pct"/>
            <w:noWrap/>
            <w:vAlign w:val="center"/>
          </w:tcPr>
          <w:p w14:paraId="369326A5">
            <w:pPr>
              <w:autoSpaceDE w:val="0"/>
              <w:autoSpaceDN w:val="0"/>
              <w:jc w:val="center"/>
              <w:textAlignment w:val="baseline"/>
              <w:rPr>
                <w:rFonts w:ascii="宋体" w:hAnsi="宋体" w:cs="宋体"/>
                <w:b/>
                <w:bCs/>
                <w:spacing w:val="-6"/>
                <w:szCs w:val="21"/>
              </w:rPr>
            </w:pPr>
            <w:r>
              <w:rPr>
                <w:rFonts w:ascii="宋体" w:hAnsi="宋体" w:cs="宋体"/>
                <w:b/>
                <w:bCs/>
                <w:spacing w:val="-6"/>
                <w:szCs w:val="21"/>
              </w:rPr>
              <w:t>评分方法</w:t>
            </w:r>
          </w:p>
        </w:tc>
        <w:tc>
          <w:tcPr>
            <w:tcW w:w="756" w:type="pct"/>
            <w:vAlign w:val="center"/>
          </w:tcPr>
          <w:p w14:paraId="48161BA4">
            <w:pPr>
              <w:autoSpaceDE w:val="0"/>
              <w:autoSpaceDN w:val="0"/>
              <w:jc w:val="center"/>
              <w:textAlignment w:val="baseline"/>
              <w:rPr>
                <w:rFonts w:ascii="宋体" w:hAnsi="宋体" w:cs="宋体"/>
                <w:b/>
                <w:bCs/>
                <w:spacing w:val="-6"/>
                <w:szCs w:val="21"/>
              </w:rPr>
            </w:pPr>
            <w:r>
              <w:rPr>
                <w:rFonts w:ascii="宋体" w:hAnsi="宋体" w:cs="宋体"/>
                <w:b/>
                <w:bCs/>
                <w:spacing w:val="-6"/>
                <w:szCs w:val="21"/>
              </w:rPr>
              <w:t>备注</w:t>
            </w:r>
          </w:p>
        </w:tc>
      </w:tr>
      <w:tr w14:paraId="1C9BC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2" w:type="pct"/>
            <w:vAlign w:val="center"/>
          </w:tcPr>
          <w:p w14:paraId="4E9D3D21">
            <w:pPr>
              <w:autoSpaceDE w:val="0"/>
              <w:autoSpaceDN w:val="0"/>
              <w:jc w:val="center"/>
              <w:textAlignment w:val="baseline"/>
              <w:rPr>
                <w:rFonts w:ascii="宋体" w:hAnsi="宋体" w:cs="宋体"/>
                <w:spacing w:val="-6"/>
                <w:szCs w:val="21"/>
              </w:rPr>
            </w:pPr>
            <w:r>
              <w:rPr>
                <w:rFonts w:hint="eastAsia" w:ascii="宋体" w:hAnsi="宋体" w:cs="宋体"/>
                <w:spacing w:val="-6"/>
                <w:szCs w:val="21"/>
              </w:rPr>
              <w:t>模块A：智能网联汽车智能化装备装调</w:t>
            </w:r>
          </w:p>
        </w:tc>
        <w:tc>
          <w:tcPr>
            <w:tcW w:w="575" w:type="pct"/>
            <w:noWrap/>
            <w:vAlign w:val="center"/>
          </w:tcPr>
          <w:p w14:paraId="5981E93E">
            <w:pPr>
              <w:autoSpaceDE w:val="0"/>
              <w:autoSpaceDN w:val="0"/>
              <w:jc w:val="center"/>
              <w:textAlignment w:val="baseline"/>
              <w:rPr>
                <w:rFonts w:ascii="宋体" w:hAnsi="宋体" w:cs="宋体"/>
                <w:spacing w:val="-6"/>
                <w:szCs w:val="21"/>
              </w:rPr>
            </w:pPr>
            <w:r>
              <w:rPr>
                <w:rFonts w:hint="eastAsia" w:ascii="宋体" w:hAnsi="宋体" w:cs="宋体"/>
                <w:spacing w:val="-6"/>
                <w:szCs w:val="21"/>
              </w:rPr>
              <w:t>45%</w:t>
            </w:r>
          </w:p>
        </w:tc>
        <w:tc>
          <w:tcPr>
            <w:tcW w:w="1187" w:type="pct"/>
            <w:vAlign w:val="center"/>
          </w:tcPr>
          <w:p w14:paraId="746773BC">
            <w:pPr>
              <w:autoSpaceDE w:val="0"/>
              <w:autoSpaceDN w:val="0"/>
              <w:jc w:val="center"/>
              <w:textAlignment w:val="baseline"/>
              <w:rPr>
                <w:rFonts w:ascii="宋体" w:hAnsi="宋体" w:cs="宋体"/>
                <w:spacing w:val="-6"/>
                <w:szCs w:val="21"/>
              </w:rPr>
            </w:pPr>
            <w:r>
              <w:rPr>
                <w:rFonts w:hint="eastAsia" w:ascii="宋体" w:hAnsi="宋体" w:cs="宋体"/>
                <w:spacing w:val="-6"/>
                <w:szCs w:val="21"/>
              </w:rPr>
              <w:t>结果+过程评分</w:t>
            </w:r>
          </w:p>
        </w:tc>
        <w:tc>
          <w:tcPr>
            <w:tcW w:w="756" w:type="pct"/>
            <w:vAlign w:val="center"/>
          </w:tcPr>
          <w:p w14:paraId="1F81AB42">
            <w:pPr>
              <w:autoSpaceDE w:val="0"/>
              <w:autoSpaceDN w:val="0"/>
              <w:jc w:val="center"/>
              <w:textAlignment w:val="baseline"/>
              <w:rPr>
                <w:rFonts w:ascii="宋体" w:hAnsi="宋体" w:cs="宋体"/>
                <w:spacing w:val="-6"/>
                <w:szCs w:val="21"/>
              </w:rPr>
            </w:pPr>
            <w:r>
              <w:rPr>
                <w:rFonts w:hint="eastAsia" w:ascii="宋体" w:hAnsi="宋体" w:cs="宋体"/>
                <w:spacing w:val="-6"/>
                <w:szCs w:val="21"/>
              </w:rPr>
              <w:t>测量分</w:t>
            </w:r>
          </w:p>
        </w:tc>
      </w:tr>
      <w:tr w14:paraId="65C90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2" w:type="pct"/>
            <w:vAlign w:val="center"/>
          </w:tcPr>
          <w:p w14:paraId="1D8FCC78">
            <w:pPr>
              <w:autoSpaceDE w:val="0"/>
              <w:autoSpaceDN w:val="0"/>
              <w:jc w:val="center"/>
              <w:textAlignment w:val="baseline"/>
              <w:rPr>
                <w:rFonts w:ascii="宋体" w:hAnsi="宋体" w:cs="宋体"/>
                <w:spacing w:val="-6"/>
                <w:szCs w:val="21"/>
              </w:rPr>
            </w:pPr>
            <w:r>
              <w:rPr>
                <w:rFonts w:hint="eastAsia" w:ascii="宋体" w:hAnsi="宋体" w:cs="宋体"/>
                <w:spacing w:val="-6"/>
                <w:szCs w:val="21"/>
              </w:rPr>
              <w:t>模块B：智能网联汽车仿真验证</w:t>
            </w:r>
          </w:p>
        </w:tc>
        <w:tc>
          <w:tcPr>
            <w:tcW w:w="575" w:type="pct"/>
            <w:noWrap/>
            <w:vAlign w:val="center"/>
          </w:tcPr>
          <w:p w14:paraId="48445779">
            <w:pPr>
              <w:autoSpaceDE w:val="0"/>
              <w:autoSpaceDN w:val="0"/>
              <w:jc w:val="center"/>
              <w:textAlignment w:val="baseline"/>
              <w:rPr>
                <w:rFonts w:ascii="宋体" w:hAnsi="宋体" w:cs="宋体"/>
                <w:spacing w:val="-6"/>
                <w:szCs w:val="21"/>
              </w:rPr>
            </w:pPr>
            <w:r>
              <w:rPr>
                <w:rFonts w:hint="eastAsia" w:ascii="宋体" w:hAnsi="宋体" w:cs="宋体"/>
                <w:spacing w:val="-6"/>
                <w:szCs w:val="21"/>
              </w:rPr>
              <w:t>20%</w:t>
            </w:r>
          </w:p>
        </w:tc>
        <w:tc>
          <w:tcPr>
            <w:tcW w:w="1187" w:type="pct"/>
            <w:vAlign w:val="center"/>
          </w:tcPr>
          <w:p w14:paraId="3D053B16">
            <w:pPr>
              <w:autoSpaceDE w:val="0"/>
              <w:autoSpaceDN w:val="0"/>
              <w:jc w:val="center"/>
              <w:textAlignment w:val="baseline"/>
              <w:rPr>
                <w:rFonts w:ascii="宋体" w:hAnsi="宋体" w:cs="宋体"/>
                <w:spacing w:val="-6"/>
                <w:szCs w:val="21"/>
              </w:rPr>
            </w:pPr>
            <w:r>
              <w:rPr>
                <w:rFonts w:hint="eastAsia" w:ascii="宋体" w:hAnsi="宋体" w:cs="宋体"/>
                <w:spacing w:val="-6"/>
                <w:szCs w:val="21"/>
              </w:rPr>
              <w:t>结果评分</w:t>
            </w:r>
          </w:p>
        </w:tc>
        <w:tc>
          <w:tcPr>
            <w:tcW w:w="756" w:type="pct"/>
            <w:vAlign w:val="center"/>
          </w:tcPr>
          <w:p w14:paraId="6FA818ED">
            <w:pPr>
              <w:autoSpaceDE w:val="0"/>
              <w:autoSpaceDN w:val="0"/>
              <w:jc w:val="center"/>
              <w:textAlignment w:val="baseline"/>
              <w:rPr>
                <w:rFonts w:ascii="宋体" w:hAnsi="宋体" w:cs="宋体"/>
                <w:spacing w:val="-6"/>
                <w:szCs w:val="21"/>
              </w:rPr>
            </w:pPr>
            <w:r>
              <w:rPr>
                <w:rFonts w:hint="eastAsia" w:ascii="宋体" w:hAnsi="宋体" w:cs="宋体"/>
                <w:spacing w:val="-6"/>
                <w:szCs w:val="21"/>
              </w:rPr>
              <w:t>测量分</w:t>
            </w:r>
          </w:p>
        </w:tc>
      </w:tr>
      <w:tr w14:paraId="67571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2" w:type="pct"/>
            <w:vAlign w:val="center"/>
          </w:tcPr>
          <w:p w14:paraId="001466F5">
            <w:pPr>
              <w:autoSpaceDE w:val="0"/>
              <w:autoSpaceDN w:val="0"/>
              <w:jc w:val="center"/>
              <w:textAlignment w:val="baseline"/>
              <w:rPr>
                <w:rFonts w:ascii="宋体" w:hAnsi="宋体" w:cs="宋体"/>
                <w:spacing w:val="-6"/>
                <w:szCs w:val="21"/>
              </w:rPr>
            </w:pPr>
            <w:r>
              <w:rPr>
                <w:rFonts w:hint="eastAsia" w:ascii="宋体" w:hAnsi="宋体" w:cs="宋体"/>
                <w:spacing w:val="-6"/>
                <w:szCs w:val="21"/>
              </w:rPr>
              <w:t>模块C：智能网联汽车综合道路测试</w:t>
            </w:r>
          </w:p>
        </w:tc>
        <w:tc>
          <w:tcPr>
            <w:tcW w:w="575" w:type="pct"/>
            <w:noWrap/>
            <w:vAlign w:val="center"/>
          </w:tcPr>
          <w:p w14:paraId="6B490B4B">
            <w:pPr>
              <w:autoSpaceDE w:val="0"/>
              <w:autoSpaceDN w:val="0"/>
              <w:jc w:val="center"/>
              <w:textAlignment w:val="baseline"/>
              <w:rPr>
                <w:rFonts w:ascii="宋体" w:hAnsi="宋体" w:cs="宋体"/>
                <w:spacing w:val="-6"/>
                <w:szCs w:val="21"/>
              </w:rPr>
            </w:pPr>
            <w:r>
              <w:rPr>
                <w:rFonts w:hint="eastAsia" w:ascii="宋体" w:hAnsi="宋体" w:cs="宋体"/>
                <w:spacing w:val="-6"/>
                <w:szCs w:val="21"/>
              </w:rPr>
              <w:t>30%</w:t>
            </w:r>
          </w:p>
        </w:tc>
        <w:tc>
          <w:tcPr>
            <w:tcW w:w="1187" w:type="pct"/>
            <w:vAlign w:val="center"/>
          </w:tcPr>
          <w:p w14:paraId="123BEFB8">
            <w:pPr>
              <w:autoSpaceDE w:val="0"/>
              <w:autoSpaceDN w:val="0"/>
              <w:jc w:val="center"/>
              <w:textAlignment w:val="baseline"/>
              <w:rPr>
                <w:rFonts w:ascii="宋体" w:hAnsi="宋体" w:cs="宋体"/>
                <w:spacing w:val="-6"/>
                <w:szCs w:val="21"/>
              </w:rPr>
            </w:pPr>
            <w:r>
              <w:rPr>
                <w:rFonts w:hint="eastAsia" w:ascii="宋体" w:hAnsi="宋体" w:cs="宋体"/>
                <w:spacing w:val="-6"/>
                <w:szCs w:val="21"/>
              </w:rPr>
              <w:t>结果+过程评分</w:t>
            </w:r>
          </w:p>
        </w:tc>
        <w:tc>
          <w:tcPr>
            <w:tcW w:w="756" w:type="pct"/>
            <w:vAlign w:val="center"/>
          </w:tcPr>
          <w:p w14:paraId="70B66911">
            <w:pPr>
              <w:autoSpaceDE w:val="0"/>
              <w:autoSpaceDN w:val="0"/>
              <w:jc w:val="center"/>
              <w:textAlignment w:val="baseline"/>
              <w:rPr>
                <w:rFonts w:ascii="宋体" w:hAnsi="宋体" w:cs="宋体"/>
                <w:spacing w:val="-6"/>
                <w:szCs w:val="21"/>
              </w:rPr>
            </w:pPr>
            <w:r>
              <w:rPr>
                <w:rFonts w:hint="eastAsia" w:ascii="宋体" w:hAnsi="宋体" w:cs="宋体"/>
                <w:spacing w:val="-6"/>
                <w:szCs w:val="21"/>
              </w:rPr>
              <w:t>测量分</w:t>
            </w:r>
          </w:p>
        </w:tc>
      </w:tr>
      <w:tr w14:paraId="68B6A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2" w:type="pct"/>
            <w:noWrap/>
            <w:vAlign w:val="center"/>
          </w:tcPr>
          <w:p w14:paraId="4CDD6F9A">
            <w:pPr>
              <w:autoSpaceDE w:val="0"/>
              <w:autoSpaceDN w:val="0"/>
              <w:jc w:val="center"/>
              <w:textAlignment w:val="baseline"/>
              <w:rPr>
                <w:rFonts w:ascii="宋体" w:hAnsi="宋体" w:cs="宋体"/>
                <w:spacing w:val="-6"/>
                <w:szCs w:val="21"/>
              </w:rPr>
            </w:pPr>
            <w:r>
              <w:rPr>
                <w:rFonts w:hint="eastAsia" w:ascii="宋体" w:hAnsi="宋体" w:cs="宋体"/>
                <w:spacing w:val="-6"/>
                <w:szCs w:val="21"/>
              </w:rPr>
              <w:t>安全生产与职业规范</w:t>
            </w:r>
          </w:p>
        </w:tc>
        <w:tc>
          <w:tcPr>
            <w:tcW w:w="575" w:type="pct"/>
            <w:noWrap/>
            <w:vAlign w:val="center"/>
          </w:tcPr>
          <w:p w14:paraId="588A3DF1">
            <w:pPr>
              <w:autoSpaceDE w:val="0"/>
              <w:autoSpaceDN w:val="0"/>
              <w:jc w:val="center"/>
              <w:textAlignment w:val="baseline"/>
              <w:rPr>
                <w:rFonts w:ascii="宋体" w:hAnsi="宋体" w:cs="宋体"/>
                <w:spacing w:val="-6"/>
                <w:szCs w:val="21"/>
              </w:rPr>
            </w:pPr>
            <w:r>
              <w:rPr>
                <w:rFonts w:hint="eastAsia" w:ascii="宋体" w:hAnsi="宋体" w:cs="宋体"/>
                <w:spacing w:val="-6"/>
                <w:szCs w:val="21"/>
              </w:rPr>
              <w:t>5%</w:t>
            </w:r>
          </w:p>
        </w:tc>
        <w:tc>
          <w:tcPr>
            <w:tcW w:w="1187" w:type="pct"/>
            <w:vAlign w:val="center"/>
          </w:tcPr>
          <w:p w14:paraId="598251B0">
            <w:pPr>
              <w:autoSpaceDE w:val="0"/>
              <w:autoSpaceDN w:val="0"/>
              <w:jc w:val="center"/>
              <w:textAlignment w:val="baseline"/>
              <w:rPr>
                <w:rFonts w:ascii="宋体" w:hAnsi="宋体" w:cs="宋体"/>
                <w:spacing w:val="-6"/>
                <w:szCs w:val="21"/>
              </w:rPr>
            </w:pPr>
            <w:r>
              <w:rPr>
                <w:rFonts w:hint="eastAsia" w:ascii="宋体" w:hAnsi="宋体" w:cs="宋体"/>
                <w:spacing w:val="-6"/>
                <w:szCs w:val="21"/>
              </w:rPr>
              <w:t>结果+评价分</w:t>
            </w:r>
          </w:p>
        </w:tc>
        <w:tc>
          <w:tcPr>
            <w:tcW w:w="756" w:type="pct"/>
            <w:vAlign w:val="center"/>
          </w:tcPr>
          <w:p w14:paraId="7900C5F2">
            <w:pPr>
              <w:autoSpaceDE w:val="0"/>
              <w:autoSpaceDN w:val="0"/>
              <w:jc w:val="center"/>
              <w:textAlignment w:val="baseline"/>
              <w:rPr>
                <w:rFonts w:ascii="宋体" w:hAnsi="宋体" w:cs="宋体"/>
                <w:spacing w:val="-6"/>
                <w:szCs w:val="21"/>
              </w:rPr>
            </w:pPr>
            <w:r>
              <w:rPr>
                <w:rFonts w:hint="eastAsia" w:ascii="宋体" w:hAnsi="宋体" w:cs="宋体"/>
                <w:spacing w:val="-6"/>
                <w:szCs w:val="21"/>
              </w:rPr>
              <w:t>评价分</w:t>
            </w:r>
          </w:p>
        </w:tc>
      </w:tr>
      <w:tr w14:paraId="1C29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82" w:type="pct"/>
            <w:noWrap/>
            <w:vAlign w:val="center"/>
          </w:tcPr>
          <w:p w14:paraId="37FE6ADB">
            <w:pPr>
              <w:autoSpaceDE w:val="0"/>
              <w:autoSpaceDN w:val="0"/>
              <w:jc w:val="center"/>
              <w:textAlignment w:val="baseline"/>
              <w:rPr>
                <w:rFonts w:ascii="宋体" w:hAnsi="宋体" w:cs="宋体"/>
                <w:spacing w:val="-6"/>
                <w:szCs w:val="21"/>
              </w:rPr>
            </w:pPr>
            <w:r>
              <w:rPr>
                <w:rFonts w:hint="eastAsia" w:ascii="宋体" w:hAnsi="宋体" w:cs="宋体"/>
                <w:spacing w:val="-6"/>
                <w:szCs w:val="21"/>
              </w:rPr>
              <w:t>总分</w:t>
            </w:r>
          </w:p>
        </w:tc>
        <w:tc>
          <w:tcPr>
            <w:tcW w:w="575" w:type="pct"/>
            <w:noWrap/>
            <w:vAlign w:val="center"/>
          </w:tcPr>
          <w:p w14:paraId="2BB3CE97">
            <w:pPr>
              <w:autoSpaceDE w:val="0"/>
              <w:autoSpaceDN w:val="0"/>
              <w:jc w:val="center"/>
              <w:textAlignment w:val="baseline"/>
              <w:rPr>
                <w:rFonts w:ascii="宋体" w:hAnsi="宋体" w:cs="宋体"/>
                <w:spacing w:val="-6"/>
                <w:szCs w:val="21"/>
              </w:rPr>
            </w:pPr>
            <w:r>
              <w:rPr>
                <w:rFonts w:hint="eastAsia" w:ascii="宋体" w:hAnsi="宋体" w:cs="宋体"/>
                <w:spacing w:val="-6"/>
                <w:szCs w:val="21"/>
              </w:rPr>
              <w:t>100%</w:t>
            </w:r>
          </w:p>
        </w:tc>
        <w:tc>
          <w:tcPr>
            <w:tcW w:w="1187" w:type="pct"/>
            <w:vAlign w:val="center"/>
          </w:tcPr>
          <w:p w14:paraId="1F6DDE81">
            <w:pPr>
              <w:autoSpaceDE w:val="0"/>
              <w:autoSpaceDN w:val="0"/>
              <w:ind w:firstLine="396" w:firstLineChars="200"/>
              <w:jc w:val="center"/>
              <w:textAlignment w:val="baseline"/>
              <w:rPr>
                <w:rFonts w:ascii="宋体" w:hAnsi="宋体" w:cs="宋体"/>
                <w:spacing w:val="-6"/>
                <w:szCs w:val="21"/>
              </w:rPr>
            </w:pPr>
          </w:p>
        </w:tc>
        <w:tc>
          <w:tcPr>
            <w:tcW w:w="756" w:type="pct"/>
            <w:vAlign w:val="center"/>
          </w:tcPr>
          <w:p w14:paraId="28CC7AF2">
            <w:pPr>
              <w:autoSpaceDE w:val="0"/>
              <w:autoSpaceDN w:val="0"/>
              <w:ind w:firstLine="396" w:firstLineChars="200"/>
              <w:jc w:val="center"/>
              <w:textAlignment w:val="baseline"/>
              <w:rPr>
                <w:rFonts w:ascii="宋体" w:hAnsi="宋体" w:cs="宋体"/>
                <w:spacing w:val="-6"/>
                <w:szCs w:val="21"/>
              </w:rPr>
            </w:pPr>
          </w:p>
        </w:tc>
      </w:tr>
    </w:tbl>
    <w:p w14:paraId="2FCD0F2A">
      <w:pPr>
        <w:pStyle w:val="2"/>
      </w:pPr>
    </w:p>
    <w:p w14:paraId="0ABDCFC3">
      <w:pPr>
        <w:autoSpaceDE w:val="0"/>
        <w:autoSpaceDN w:val="0"/>
        <w:ind w:firstLine="396" w:firstLineChars="200"/>
        <w:textAlignment w:val="baseline"/>
        <w:outlineLvl w:val="1"/>
        <w:rPr>
          <w:rFonts w:ascii="宋体" w:hAnsi="宋体" w:cs="宋体"/>
          <w:b/>
          <w:bCs/>
          <w:spacing w:val="-6"/>
          <w:szCs w:val="21"/>
        </w:rPr>
      </w:pPr>
      <w:bookmarkStart w:id="24" w:name="_Toc12948"/>
      <w:bookmarkStart w:id="25" w:name="_Toc3722"/>
      <w:bookmarkStart w:id="26" w:name="_Toc15152"/>
      <w:bookmarkStart w:id="27" w:name="_Toc7659"/>
      <w:r>
        <w:rPr>
          <w:rFonts w:ascii="宋体" w:hAnsi="宋体" w:cs="宋体"/>
          <w:spacing w:val="-6"/>
          <w:szCs w:val="21"/>
        </w:rPr>
        <w:t>2.评判流程</w:t>
      </w:r>
      <w:bookmarkEnd w:id="24"/>
      <w:bookmarkEnd w:id="25"/>
      <w:bookmarkEnd w:id="26"/>
      <w:bookmarkEnd w:id="27"/>
    </w:p>
    <w:p w14:paraId="7FC880D6">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操作竞赛评分由过程评分、结果评分、违规扣分三部分组成。</w:t>
      </w:r>
    </w:p>
    <w:p w14:paraId="57BBDE08">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1）过程评分</w:t>
      </w:r>
    </w:p>
    <w:p w14:paraId="3B17D960">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过程评分对应任务工单部分，由2名现场评分裁判根据评分细则，共同对选手的操作的规范性、合理性、正确性等进行现场评分；若现场评分裁判对选手的评分有分歧时，由现场裁判长裁决。</w:t>
      </w:r>
    </w:p>
    <w:p w14:paraId="2F07A4CD">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2）结果评分</w:t>
      </w:r>
    </w:p>
    <w:p w14:paraId="37C236FB">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评分裁判根据参赛选手完成赛题的结果质量，依据评分标准评分，和竞赛平台软件评分相结合，进行综合评分；若现场评分裁判对选手的评分有分歧时，由现场裁判长裁决。</w:t>
      </w:r>
    </w:p>
    <w:p w14:paraId="4B2E20A3">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3）违规扣分</w:t>
      </w:r>
    </w:p>
    <w:p w14:paraId="0CF582BA">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选手竞赛中有下列情形者将予以扣分：</w:t>
      </w:r>
    </w:p>
    <w:p w14:paraId="647490CC">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（1）在完成工作任务的过程中，因操作不当导致事故，扣总分2%～5%，情况严重者取消竞赛资格。</w:t>
      </w:r>
    </w:p>
    <w:p w14:paraId="6AD40769">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（2）因违规操作损坏赛场提供的设备，污染赛场环境等不符合职业规范的行为，视情节扣总分2%～5%，情况严重者取消竞赛资格。</w:t>
      </w:r>
    </w:p>
    <w:p w14:paraId="049BD9AF">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（3）扰乱赛场秩序，干扰裁判员工作，视情节扣总分2%～5%，情况严重者取消竞赛资格。</w:t>
      </w:r>
    </w:p>
    <w:p w14:paraId="28B487C5">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（4）没有按照竞赛规程和任务书设定赛项赛题进行的，比赛现场工具摆放不整齐、作业流程混乱、着装不规范、资料归档不完整，视情节扣总分2～5%。</w:t>
      </w:r>
    </w:p>
    <w:p w14:paraId="0F4A54FE">
      <w:pPr>
        <w:autoSpaceDE w:val="0"/>
        <w:autoSpaceDN w:val="0"/>
        <w:ind w:firstLine="396" w:firstLineChars="200"/>
        <w:textAlignment w:val="baseline"/>
        <w:outlineLvl w:val="1"/>
        <w:rPr>
          <w:rFonts w:ascii="宋体" w:hAnsi="宋体" w:cs="宋体"/>
          <w:b/>
          <w:bCs/>
          <w:spacing w:val="-6"/>
          <w:szCs w:val="21"/>
        </w:rPr>
      </w:pPr>
      <w:bookmarkStart w:id="28" w:name="_Toc6479"/>
      <w:bookmarkStart w:id="29" w:name="_Toc8975"/>
      <w:bookmarkStart w:id="30" w:name="_Toc16388"/>
      <w:bookmarkStart w:id="31" w:name="_Toc26399"/>
      <w:r>
        <w:rPr>
          <w:rFonts w:hint="eastAsia" w:ascii="宋体" w:hAnsi="宋体" w:cs="宋体"/>
          <w:spacing w:val="-6"/>
          <w:szCs w:val="21"/>
        </w:rPr>
        <w:t>3.评判方法</w:t>
      </w:r>
      <w:bookmarkEnd w:id="28"/>
      <w:bookmarkEnd w:id="29"/>
      <w:bookmarkEnd w:id="30"/>
      <w:bookmarkEnd w:id="31"/>
    </w:p>
    <w:p w14:paraId="06959EF8">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（1）采用过程评分的任务，将根据工具、量具、仪器的选择和使用、操作步骤、操作方法、操作规范性</w:t>
      </w:r>
      <w:r>
        <w:rPr>
          <w:rFonts w:hint="eastAsia" w:ascii="宋体" w:hAnsi="宋体" w:cs="宋体"/>
          <w:spacing w:val="-6"/>
          <w:szCs w:val="21"/>
          <w:lang w:val="en-US" w:eastAsia="zh-CN"/>
        </w:rPr>
        <w:t>及</w:t>
      </w:r>
      <w:r>
        <w:rPr>
          <w:rFonts w:hint="eastAsia" w:ascii="宋体" w:hAnsi="宋体" w:cs="宋体"/>
          <w:spacing w:val="-6"/>
          <w:szCs w:val="21"/>
        </w:rPr>
        <w:t>操作结果等诸方面进行评分。</w:t>
      </w:r>
    </w:p>
    <w:p w14:paraId="08ED1724">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（2）采用结果评分的任务，由竞赛平台软件和裁判综合评分。</w:t>
      </w:r>
    </w:p>
    <w:p w14:paraId="7FC49DDB">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（3）测量方法规范、统一、标准，保证对所有选手一致。</w:t>
      </w:r>
    </w:p>
    <w:p w14:paraId="0DEBD8B8">
      <w:pPr>
        <w:autoSpaceDE w:val="0"/>
        <w:autoSpaceDN w:val="0"/>
        <w:ind w:firstLine="396" w:firstLineChars="200"/>
        <w:textAlignment w:val="baseline"/>
        <w:outlineLvl w:val="1"/>
        <w:rPr>
          <w:rFonts w:ascii="宋体" w:hAnsi="宋体" w:cs="宋体"/>
          <w:b/>
          <w:bCs/>
          <w:spacing w:val="-6"/>
          <w:szCs w:val="21"/>
        </w:rPr>
      </w:pPr>
      <w:bookmarkStart w:id="32" w:name="_Toc23007"/>
      <w:bookmarkStart w:id="33" w:name="_Toc21178"/>
      <w:bookmarkStart w:id="34" w:name="_Toc5714"/>
      <w:bookmarkStart w:id="35" w:name="_Toc31277"/>
      <w:r>
        <w:rPr>
          <w:rFonts w:hint="eastAsia" w:ascii="宋体" w:hAnsi="宋体" w:cs="宋体"/>
          <w:spacing w:val="-6"/>
          <w:szCs w:val="21"/>
        </w:rPr>
        <w:t>4.成绩复核</w:t>
      </w:r>
      <w:bookmarkEnd w:id="32"/>
      <w:bookmarkEnd w:id="33"/>
      <w:bookmarkEnd w:id="34"/>
      <w:bookmarkEnd w:id="35"/>
    </w:p>
    <w:p w14:paraId="5A06CE75">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为保障成绩评判的准确性，监督仲裁组将对参赛选手的成绩进行抽检复核，如发现成绩错误，以书面形式及时告知裁判长，由裁判长更正成绩，并签字确认。</w:t>
      </w:r>
    </w:p>
    <w:p w14:paraId="5B5E0863">
      <w:pPr>
        <w:autoSpaceDE w:val="0"/>
        <w:autoSpaceDN w:val="0"/>
        <w:ind w:firstLine="396" w:firstLineChars="200"/>
        <w:textAlignment w:val="baseline"/>
        <w:outlineLvl w:val="1"/>
        <w:rPr>
          <w:rFonts w:ascii="宋体" w:hAnsi="宋体" w:cs="宋体"/>
          <w:b/>
          <w:bCs/>
          <w:spacing w:val="-6"/>
          <w:szCs w:val="21"/>
        </w:rPr>
      </w:pPr>
      <w:bookmarkStart w:id="36" w:name="_Toc31952"/>
      <w:bookmarkStart w:id="37" w:name="_Toc25160"/>
      <w:bookmarkStart w:id="38" w:name="_Toc16120"/>
      <w:bookmarkStart w:id="39" w:name="_Toc4784"/>
      <w:r>
        <w:rPr>
          <w:rFonts w:hint="eastAsia" w:ascii="宋体" w:hAnsi="宋体" w:cs="宋体"/>
          <w:spacing w:val="-6"/>
          <w:szCs w:val="21"/>
        </w:rPr>
        <w:t>5.最终成绩</w:t>
      </w:r>
      <w:bookmarkEnd w:id="36"/>
      <w:bookmarkEnd w:id="37"/>
      <w:bookmarkEnd w:id="38"/>
      <w:bookmarkEnd w:id="39"/>
    </w:p>
    <w:p w14:paraId="014C6282">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赛项最终得分按各模块总分直接相加得出。最终成绩经复核无误，由裁判长、监督仲裁人员签字确认后公布。实际操作竞赛全部结束后24小时内公布最终成绩。</w:t>
      </w:r>
    </w:p>
    <w:p w14:paraId="6DBAC570">
      <w:pPr>
        <w:autoSpaceDE w:val="0"/>
        <w:autoSpaceDN w:val="0"/>
        <w:ind w:firstLine="396" w:firstLineChars="200"/>
        <w:textAlignment w:val="baseline"/>
        <w:outlineLvl w:val="1"/>
        <w:rPr>
          <w:rFonts w:ascii="宋体" w:hAnsi="宋体" w:cs="宋体"/>
          <w:b/>
          <w:bCs/>
          <w:spacing w:val="-6"/>
          <w:szCs w:val="21"/>
        </w:rPr>
      </w:pPr>
      <w:bookmarkStart w:id="40" w:name="_Toc13471"/>
      <w:bookmarkStart w:id="41" w:name="_Toc9367"/>
      <w:bookmarkStart w:id="42" w:name="_Toc24060"/>
      <w:bookmarkStart w:id="43" w:name="_Toc15121"/>
      <w:r>
        <w:rPr>
          <w:rFonts w:hint="eastAsia" w:ascii="宋体" w:hAnsi="宋体" w:cs="宋体"/>
          <w:spacing w:val="-6"/>
          <w:szCs w:val="21"/>
        </w:rPr>
        <w:t>6.成绩排序</w:t>
      </w:r>
      <w:bookmarkEnd w:id="40"/>
      <w:bookmarkEnd w:id="41"/>
      <w:bookmarkEnd w:id="42"/>
      <w:bookmarkEnd w:id="43"/>
    </w:p>
    <w:p w14:paraId="59A6084E">
      <w:pPr>
        <w:autoSpaceDE w:val="0"/>
        <w:autoSpaceDN w:val="0"/>
        <w:ind w:firstLine="396" w:firstLineChars="200"/>
        <w:textAlignment w:val="baseline"/>
        <w:rPr>
          <w:rFonts w:ascii="宋体" w:hAnsi="宋体" w:cs="宋体"/>
          <w:spacing w:val="-6"/>
          <w:szCs w:val="21"/>
        </w:rPr>
      </w:pPr>
      <w:r>
        <w:rPr>
          <w:rFonts w:hint="eastAsia" w:ascii="宋体" w:hAnsi="宋体" w:cs="宋体"/>
          <w:spacing w:val="-6"/>
          <w:szCs w:val="21"/>
        </w:rPr>
        <w:t>名次的排序根据选手竞赛总分评定结果从高到低依次排定。</w:t>
      </w:r>
    </w:p>
    <w:p w14:paraId="03CEED7A">
      <w:pPr>
        <w:autoSpaceDE w:val="0"/>
        <w:autoSpaceDN w:val="0"/>
        <w:ind w:firstLine="396" w:firstLineChars="200"/>
        <w:textAlignment w:val="baseline"/>
        <w:outlineLvl w:val="1"/>
        <w:rPr>
          <w:rFonts w:ascii="宋体" w:hAnsi="宋体" w:cs="宋体"/>
          <w:spacing w:val="-6"/>
          <w:szCs w:val="21"/>
        </w:rPr>
      </w:pPr>
      <w:bookmarkStart w:id="44" w:name="_Toc13534"/>
      <w:bookmarkStart w:id="45" w:name="_Toc28168"/>
      <w:bookmarkStart w:id="46" w:name="_Toc25795"/>
      <w:bookmarkStart w:id="47" w:name="_Toc30561"/>
      <w:r>
        <w:rPr>
          <w:rFonts w:hint="eastAsia" w:ascii="宋体" w:hAnsi="宋体" w:cs="宋体"/>
          <w:spacing w:val="-6"/>
          <w:szCs w:val="21"/>
        </w:rPr>
        <w:t>7.成绩并列</w:t>
      </w:r>
      <w:bookmarkEnd w:id="44"/>
      <w:bookmarkEnd w:id="45"/>
      <w:bookmarkEnd w:id="46"/>
      <w:bookmarkEnd w:id="47"/>
    </w:p>
    <w:p w14:paraId="5A7DD807">
      <w:pPr>
        <w:autoSpaceDE w:val="0"/>
        <w:autoSpaceDN w:val="0"/>
        <w:ind w:left="420" w:leftChars="200"/>
        <w:textAlignment w:val="baseline"/>
        <w:rPr>
          <w:rFonts w:ascii="宋体" w:hAnsi="宋体" w:cs="宋体"/>
          <w:color w:val="FF0000"/>
          <w:spacing w:val="-6"/>
          <w:szCs w:val="21"/>
        </w:rPr>
      </w:pPr>
      <w:r>
        <w:rPr>
          <w:rFonts w:hint="eastAsia" w:ascii="宋体" w:hAnsi="宋体" w:cs="宋体"/>
          <w:spacing w:val="-6"/>
          <w:szCs w:val="21"/>
        </w:rPr>
        <w:t>各组选手如果竞赛总分相同者，3个模块总用时少的排名靠前；若用时再相同，则以模块C得分高者优先；若得分再相同，则以模块A得分高者优先；若得分再相同，则以模块B得分高者优先。</w:t>
      </w:r>
    </w:p>
    <w:p w14:paraId="0EA6ACD8">
      <w:pPr>
        <w:ind w:firstLine="562" w:firstLineChars="200"/>
        <w:outlineLvl w:val="1"/>
        <w:rPr>
          <w:rFonts w:ascii="宋体" w:hAnsi="宋体" w:cs="宋体"/>
          <w:b/>
          <w:bCs/>
          <w:sz w:val="28"/>
          <w:szCs w:val="28"/>
        </w:rPr>
      </w:pPr>
      <w:bookmarkStart w:id="48" w:name="_Toc200799788"/>
      <w:bookmarkStart w:id="49" w:name="_Toc5920"/>
      <w:bookmarkStart w:id="50" w:name="_Toc200800417"/>
      <w:bookmarkStart w:id="51" w:name="_Toc30094"/>
      <w:bookmarkStart w:id="52" w:name="_Toc16516"/>
      <w:r>
        <w:rPr>
          <w:rFonts w:hint="eastAsia" w:ascii="宋体" w:hAnsi="宋体" w:cs="宋体"/>
          <w:b/>
          <w:bCs/>
          <w:sz w:val="28"/>
          <w:szCs w:val="28"/>
        </w:rPr>
        <w:t>（四）公布方式(保密安排)</w:t>
      </w:r>
      <w:bookmarkEnd w:id="48"/>
      <w:bookmarkEnd w:id="49"/>
      <w:bookmarkEnd w:id="50"/>
      <w:bookmarkEnd w:id="51"/>
      <w:bookmarkEnd w:id="52"/>
    </w:p>
    <w:p w14:paraId="35C07420">
      <w:pPr>
        <w:autoSpaceDE w:val="0"/>
        <w:autoSpaceDN w:val="0"/>
        <w:ind w:firstLine="372" w:firstLineChars="200"/>
        <w:textAlignment w:val="baseline"/>
        <w:rPr>
          <w:rFonts w:ascii="宋体" w:hAnsi="宋体" w:cs="宋体"/>
          <w:spacing w:val="-12"/>
          <w:szCs w:val="21"/>
        </w:rPr>
      </w:pPr>
      <w:bookmarkStart w:id="53" w:name="_Toc31379"/>
      <w:bookmarkStart w:id="54" w:name="_Toc30901"/>
      <w:r>
        <w:rPr>
          <w:rFonts w:ascii="宋体" w:hAnsi="宋体" w:cs="宋体"/>
          <w:spacing w:val="-12"/>
          <w:szCs w:val="21"/>
        </w:rPr>
        <w:t>1.赛题保密内容</w:t>
      </w:r>
      <w:bookmarkEnd w:id="53"/>
      <w:bookmarkEnd w:id="54"/>
    </w:p>
    <w:p w14:paraId="17A676DF">
      <w:pPr>
        <w:autoSpaceDE w:val="0"/>
        <w:autoSpaceDN w:val="0"/>
        <w:ind w:firstLine="372" w:firstLineChars="200"/>
        <w:textAlignment w:val="baseline"/>
        <w:rPr>
          <w:rFonts w:ascii="宋体" w:hAnsi="宋体" w:cs="宋体"/>
          <w:spacing w:val="-12"/>
          <w:szCs w:val="21"/>
        </w:rPr>
      </w:pPr>
      <w:r>
        <w:rPr>
          <w:rFonts w:ascii="宋体" w:hAnsi="宋体" w:cs="宋体"/>
          <w:spacing w:val="-12"/>
          <w:szCs w:val="21"/>
        </w:rPr>
        <w:t>（1）竞赛过程中所涉及到的具体程序内容。</w:t>
      </w:r>
    </w:p>
    <w:p w14:paraId="5C576B08">
      <w:pPr>
        <w:autoSpaceDE w:val="0"/>
        <w:autoSpaceDN w:val="0"/>
        <w:ind w:firstLine="372" w:firstLineChars="200"/>
        <w:textAlignment w:val="baseline"/>
        <w:rPr>
          <w:rFonts w:ascii="宋体" w:hAnsi="宋体" w:cs="宋体"/>
          <w:spacing w:val="-12"/>
          <w:szCs w:val="21"/>
        </w:rPr>
      </w:pPr>
      <w:r>
        <w:rPr>
          <w:rFonts w:ascii="宋体" w:hAnsi="宋体" w:cs="宋体"/>
          <w:spacing w:val="-12"/>
          <w:szCs w:val="21"/>
        </w:rPr>
        <w:t>（2）竞赛过程中涉及到的具体过程评分点。</w:t>
      </w:r>
    </w:p>
    <w:p w14:paraId="13AC75F5">
      <w:pPr>
        <w:autoSpaceDE w:val="0"/>
        <w:autoSpaceDN w:val="0"/>
        <w:ind w:firstLine="372" w:firstLineChars="200"/>
        <w:textAlignment w:val="baseline"/>
        <w:rPr>
          <w:rFonts w:ascii="宋体" w:hAnsi="宋体" w:cs="宋体"/>
          <w:spacing w:val="-12"/>
          <w:szCs w:val="21"/>
        </w:rPr>
      </w:pPr>
      <w:r>
        <w:rPr>
          <w:rFonts w:ascii="宋体" w:hAnsi="宋体" w:cs="宋体"/>
          <w:spacing w:val="-12"/>
          <w:szCs w:val="21"/>
        </w:rPr>
        <w:t>（3）竞赛过程中命题需要的具体耗材。</w:t>
      </w:r>
    </w:p>
    <w:p w14:paraId="3CA716B4">
      <w:pPr>
        <w:autoSpaceDE w:val="0"/>
        <w:autoSpaceDN w:val="0"/>
        <w:ind w:firstLine="372" w:firstLineChars="200"/>
        <w:textAlignment w:val="baseline"/>
        <w:rPr>
          <w:rFonts w:ascii="宋体" w:hAnsi="宋体" w:cs="宋体"/>
          <w:b/>
          <w:bCs/>
          <w:spacing w:val="-12"/>
          <w:szCs w:val="21"/>
        </w:rPr>
      </w:pPr>
      <w:bookmarkStart w:id="55" w:name="_Toc29713"/>
      <w:bookmarkStart w:id="56" w:name="_Toc30581"/>
      <w:r>
        <w:rPr>
          <w:rFonts w:ascii="宋体" w:hAnsi="宋体" w:cs="宋体"/>
          <w:spacing w:val="-12"/>
          <w:szCs w:val="21"/>
        </w:rPr>
        <w:t>2.公布方式及公布时间</w:t>
      </w:r>
      <w:bookmarkEnd w:id="55"/>
      <w:bookmarkEnd w:id="56"/>
    </w:p>
    <w:p w14:paraId="5C8395F3">
      <w:pPr>
        <w:autoSpaceDE w:val="0"/>
        <w:autoSpaceDN w:val="0"/>
        <w:ind w:firstLine="372" w:firstLineChars="200"/>
        <w:textAlignment w:val="baseline"/>
        <w:rPr>
          <w:rFonts w:ascii="宋体" w:hAnsi="宋体" w:cs="宋体"/>
          <w:spacing w:val="-6"/>
          <w:szCs w:val="21"/>
        </w:rPr>
      </w:pPr>
      <w:r>
        <w:rPr>
          <w:rFonts w:ascii="宋体" w:hAnsi="宋体" w:cs="宋体"/>
          <w:spacing w:val="-12"/>
          <w:szCs w:val="21"/>
        </w:rPr>
        <w:t>竞赛题目</w:t>
      </w:r>
      <w:r>
        <w:rPr>
          <w:rFonts w:hint="eastAsia" w:ascii="宋体" w:hAnsi="宋体" w:cs="宋体"/>
          <w:spacing w:val="-12"/>
          <w:szCs w:val="21"/>
          <w:lang w:val="en-US" w:eastAsia="zh-CN"/>
        </w:rPr>
        <w:t>及相关补充更正内容</w:t>
      </w:r>
      <w:r>
        <w:rPr>
          <w:rFonts w:ascii="宋体" w:hAnsi="宋体" w:cs="宋体"/>
          <w:spacing w:val="-12"/>
          <w:szCs w:val="21"/>
        </w:rPr>
        <w:t>将会在比赛当天以文档方式发到各参赛选手与裁判中。</w:t>
      </w:r>
    </w:p>
    <w:p w14:paraId="536256C5">
      <w:pPr>
        <w:autoSpaceDE w:val="0"/>
        <w:autoSpaceDN w:val="0"/>
        <w:ind w:firstLine="396" w:firstLineChars="200"/>
        <w:textAlignment w:val="baseline"/>
        <w:rPr>
          <w:rFonts w:ascii="宋体" w:hAnsi="宋体" w:cs="宋体"/>
          <w:color w:val="000000" w:themeColor="text1"/>
          <w:spacing w:val="-6"/>
          <w:szCs w:val="21"/>
          <w14:textFill>
            <w14:solidFill>
              <w14:schemeClr w14:val="tx1"/>
            </w14:solidFill>
          </w14:textFill>
        </w:rPr>
      </w:pPr>
    </w:p>
    <w:p w14:paraId="1FB4E7EF">
      <w:pPr>
        <w:adjustRightInd w:val="0"/>
        <w:outlineLvl w:val="0"/>
        <w:rPr>
          <w:b/>
          <w:bCs/>
          <w:spacing w:val="-6"/>
          <w:sz w:val="32"/>
          <w:szCs w:val="32"/>
        </w:rPr>
      </w:pPr>
      <w:bookmarkStart w:id="57" w:name="_Toc20376"/>
      <w:r>
        <w:fldChar w:fldCharType="begin"/>
      </w:r>
      <w:r>
        <w:instrText xml:space="preserve"> HYPERLINK \l "_Toc21088" </w:instrText>
      </w:r>
      <w:r>
        <w:fldChar w:fldCharType="separate"/>
      </w:r>
      <w:r>
        <w:rPr>
          <w:rFonts w:hint="eastAsia"/>
          <w:b/>
          <w:bCs/>
          <w:spacing w:val="-6"/>
          <w:sz w:val="32"/>
          <w:szCs w:val="32"/>
        </w:rPr>
        <w:t>三、竞赛细则</w:t>
      </w:r>
      <w:r>
        <w:rPr>
          <w:rFonts w:hint="eastAsia"/>
          <w:b/>
          <w:bCs/>
          <w:spacing w:val="-6"/>
          <w:sz w:val="32"/>
          <w:szCs w:val="32"/>
        </w:rPr>
        <w:fldChar w:fldCharType="end"/>
      </w:r>
      <w:bookmarkEnd w:id="57"/>
    </w:p>
    <w:p w14:paraId="4679AE30">
      <w:pPr>
        <w:ind w:firstLine="420" w:firstLineChars="200"/>
        <w:outlineLvl w:val="1"/>
        <w:rPr>
          <w:b/>
          <w:bCs/>
          <w:spacing w:val="-6"/>
          <w:sz w:val="28"/>
          <w:szCs w:val="28"/>
        </w:rPr>
      </w:pPr>
      <w:bookmarkStart w:id="58" w:name="_Toc29912"/>
      <w:r>
        <w:fldChar w:fldCharType="begin"/>
      </w:r>
      <w:r>
        <w:instrText xml:space="preserve"> HYPERLINK \l "_Toc13017" </w:instrText>
      </w:r>
      <w:r>
        <w:fldChar w:fldCharType="separate"/>
      </w:r>
      <w:bookmarkStart w:id="59" w:name="_Toc135467057"/>
      <w:bookmarkStart w:id="60" w:name="_Toc135424223"/>
      <w:bookmarkStart w:id="61" w:name="_Toc135429295"/>
      <w:bookmarkStart w:id="62" w:name="_Toc135436582"/>
      <w:r>
        <w:rPr>
          <w:rFonts w:hint="eastAsia"/>
          <w:b/>
          <w:bCs/>
          <w:spacing w:val="-6"/>
          <w:sz w:val="28"/>
          <w:szCs w:val="28"/>
        </w:rPr>
        <w:t>（一）竞赛时间安排</w:t>
      </w:r>
      <w:bookmarkEnd w:id="59"/>
      <w:bookmarkEnd w:id="60"/>
      <w:bookmarkEnd w:id="61"/>
      <w:bookmarkEnd w:id="62"/>
      <w:r>
        <w:rPr>
          <w:rFonts w:hint="eastAsia"/>
          <w:b/>
          <w:bCs/>
          <w:spacing w:val="-6"/>
          <w:sz w:val="28"/>
          <w:szCs w:val="28"/>
        </w:rPr>
        <w:fldChar w:fldCharType="end"/>
      </w:r>
      <w:bookmarkEnd w:id="58"/>
    </w:p>
    <w:p w14:paraId="2F5DCB5B">
      <w:pPr>
        <w:autoSpaceDE w:val="0"/>
        <w:autoSpaceDN w:val="0"/>
        <w:ind w:firstLine="372" w:firstLineChars="200"/>
        <w:textAlignment w:val="baseline"/>
        <w:rPr>
          <w:rFonts w:ascii="宋体" w:hAnsi="宋体" w:cs="宋体"/>
          <w:bCs/>
          <w:spacing w:val="-12"/>
          <w:szCs w:val="21"/>
        </w:rPr>
      </w:pPr>
      <w:bookmarkStart w:id="63" w:name="_Toc20250"/>
      <w:bookmarkStart w:id="64" w:name="_Toc17262"/>
      <w:r>
        <w:rPr>
          <w:rFonts w:ascii="宋体" w:hAnsi="宋体" w:cs="宋体"/>
          <w:bCs/>
          <w:spacing w:val="-12"/>
          <w:szCs w:val="21"/>
        </w:rPr>
        <w:t>1.场次安排</w:t>
      </w:r>
      <w:bookmarkEnd w:id="63"/>
      <w:bookmarkEnd w:id="64"/>
    </w:p>
    <w:p w14:paraId="2FC62D9C">
      <w:pPr>
        <w:autoSpaceDE w:val="0"/>
        <w:autoSpaceDN w:val="0"/>
        <w:ind w:firstLine="372" w:firstLineChars="200"/>
        <w:textAlignment w:val="baseline"/>
        <w:rPr>
          <w:rFonts w:ascii="宋体" w:hAnsi="宋体" w:cs="宋体"/>
          <w:bCs/>
          <w:spacing w:val="-12"/>
          <w:szCs w:val="21"/>
        </w:rPr>
      </w:pPr>
      <w:r>
        <w:rPr>
          <w:rFonts w:ascii="宋体" w:hAnsi="宋体" w:cs="宋体"/>
          <w:bCs/>
          <w:spacing w:val="-12"/>
          <w:szCs w:val="21"/>
        </w:rPr>
        <w:t>根据参赛选手报名人数和设备数量确定。</w:t>
      </w:r>
    </w:p>
    <w:p w14:paraId="3901817A">
      <w:pPr>
        <w:autoSpaceDE w:val="0"/>
        <w:autoSpaceDN w:val="0"/>
        <w:ind w:firstLine="372" w:firstLineChars="200"/>
        <w:textAlignment w:val="baseline"/>
        <w:rPr>
          <w:rFonts w:ascii="宋体" w:hAnsi="宋体" w:cs="宋体"/>
          <w:bCs/>
          <w:spacing w:val="-12"/>
          <w:szCs w:val="21"/>
        </w:rPr>
      </w:pPr>
      <w:bookmarkStart w:id="65" w:name="_Toc523"/>
      <w:bookmarkStart w:id="66" w:name="_Toc19392"/>
      <w:r>
        <w:rPr>
          <w:rFonts w:ascii="宋体" w:hAnsi="宋体" w:cs="宋体"/>
          <w:bCs/>
          <w:spacing w:val="-12"/>
          <w:szCs w:val="21"/>
        </w:rPr>
        <w:t>2.场次和工位抽签</w:t>
      </w:r>
      <w:bookmarkEnd w:id="65"/>
      <w:bookmarkEnd w:id="66"/>
    </w:p>
    <w:p w14:paraId="6506E969">
      <w:pPr>
        <w:autoSpaceDE w:val="0"/>
        <w:autoSpaceDN w:val="0"/>
        <w:ind w:firstLine="372" w:firstLineChars="200"/>
        <w:textAlignment w:val="baseline"/>
        <w:rPr>
          <w:rFonts w:ascii="宋体" w:hAnsi="宋体" w:cs="宋体"/>
          <w:bCs/>
          <w:spacing w:val="-12"/>
          <w:szCs w:val="21"/>
        </w:rPr>
      </w:pPr>
      <w:r>
        <w:rPr>
          <w:rFonts w:ascii="宋体" w:hAnsi="宋体" w:cs="宋体"/>
          <w:bCs/>
          <w:spacing w:val="-12"/>
          <w:szCs w:val="21"/>
        </w:rPr>
        <w:t>竞赛前，由组委会统筹考虑参赛人数和设备台套数，确定竞赛场次。具体抽签方式如下：</w:t>
      </w:r>
    </w:p>
    <w:p w14:paraId="423DF575">
      <w:pPr>
        <w:autoSpaceDE w:val="0"/>
        <w:autoSpaceDN w:val="0"/>
        <w:ind w:firstLine="372" w:firstLineChars="200"/>
        <w:textAlignment w:val="baseline"/>
        <w:rPr>
          <w:rFonts w:ascii="宋体" w:hAnsi="宋体" w:cs="宋体"/>
          <w:bCs/>
          <w:spacing w:val="-12"/>
          <w:szCs w:val="21"/>
        </w:rPr>
      </w:pPr>
      <w:r>
        <w:rPr>
          <w:rFonts w:ascii="宋体" w:hAnsi="宋体" w:cs="宋体"/>
          <w:bCs/>
          <w:spacing w:val="-12"/>
          <w:szCs w:val="21"/>
        </w:rPr>
        <w:t>（1）</w:t>
      </w:r>
      <w:r>
        <w:rPr>
          <w:rFonts w:hint="eastAsia" w:ascii="宋体" w:hAnsi="宋体" w:cs="宋体"/>
          <w:bCs/>
          <w:spacing w:val="-12"/>
          <w:szCs w:val="21"/>
        </w:rPr>
        <w:t>模块A在比赛第一日开赛前30分钟抽取当天比赛场次号；</w:t>
      </w:r>
    </w:p>
    <w:p w14:paraId="0C858B67">
      <w:pPr>
        <w:autoSpaceDE w:val="0"/>
        <w:autoSpaceDN w:val="0"/>
        <w:ind w:firstLine="372" w:firstLineChars="200"/>
        <w:textAlignment w:val="baseline"/>
        <w:rPr>
          <w:rFonts w:ascii="宋体" w:hAnsi="宋体" w:cs="宋体"/>
          <w:bCs/>
          <w:spacing w:val="-12"/>
          <w:szCs w:val="21"/>
        </w:rPr>
      </w:pPr>
      <w:r>
        <w:rPr>
          <w:rFonts w:ascii="宋体" w:hAnsi="宋体" w:cs="宋体"/>
          <w:bCs/>
          <w:spacing w:val="-12"/>
          <w:szCs w:val="21"/>
        </w:rPr>
        <w:t>（</w:t>
      </w:r>
      <w:r>
        <w:rPr>
          <w:rFonts w:hint="eastAsia" w:ascii="宋体" w:hAnsi="宋体" w:cs="宋体"/>
          <w:bCs/>
          <w:spacing w:val="-12"/>
          <w:szCs w:val="21"/>
        </w:rPr>
        <w:t>2</w:t>
      </w:r>
      <w:r>
        <w:rPr>
          <w:rFonts w:ascii="宋体" w:hAnsi="宋体" w:cs="宋体"/>
          <w:bCs/>
          <w:spacing w:val="-12"/>
          <w:szCs w:val="21"/>
        </w:rPr>
        <w:t>）</w:t>
      </w:r>
      <w:r>
        <w:rPr>
          <w:rFonts w:hint="eastAsia" w:ascii="宋体" w:hAnsi="宋体" w:cs="宋体"/>
          <w:bCs/>
          <w:spacing w:val="-12"/>
          <w:szCs w:val="21"/>
        </w:rPr>
        <w:t>模块B和模块C在比赛第二日开赛前30分钟抽取模块B、模块C的场次号；</w:t>
      </w:r>
    </w:p>
    <w:p w14:paraId="1D7C6098">
      <w:pPr>
        <w:autoSpaceDE w:val="0"/>
        <w:autoSpaceDN w:val="0"/>
        <w:ind w:firstLine="372" w:firstLineChars="200"/>
        <w:textAlignment w:val="baseline"/>
        <w:rPr>
          <w:rFonts w:ascii="宋体" w:hAnsi="宋体" w:cs="宋体"/>
          <w:bCs/>
          <w:spacing w:val="-12"/>
          <w:szCs w:val="21"/>
        </w:rPr>
      </w:pPr>
      <w:r>
        <w:rPr>
          <w:rFonts w:ascii="宋体" w:hAnsi="宋体" w:cs="宋体"/>
          <w:bCs/>
          <w:spacing w:val="-12"/>
          <w:szCs w:val="21"/>
        </w:rPr>
        <w:t>（</w:t>
      </w:r>
      <w:r>
        <w:rPr>
          <w:rFonts w:hint="eastAsia" w:ascii="宋体" w:hAnsi="宋体" w:cs="宋体"/>
          <w:bCs/>
          <w:spacing w:val="-12"/>
          <w:szCs w:val="21"/>
        </w:rPr>
        <w:t>3</w:t>
      </w:r>
      <w:r>
        <w:rPr>
          <w:rFonts w:ascii="宋体" w:hAnsi="宋体" w:cs="宋体"/>
          <w:bCs/>
          <w:spacing w:val="-12"/>
          <w:szCs w:val="21"/>
        </w:rPr>
        <w:t>）</w:t>
      </w:r>
      <w:r>
        <w:rPr>
          <w:rFonts w:hint="eastAsia" w:ascii="宋体" w:hAnsi="宋体" w:cs="宋体"/>
          <w:bCs/>
          <w:spacing w:val="-12"/>
          <w:szCs w:val="21"/>
        </w:rPr>
        <w:t>选手在进入</w:t>
      </w:r>
      <w:r>
        <w:rPr>
          <w:rFonts w:ascii="宋体" w:hAnsi="宋体" w:cs="宋体"/>
          <w:bCs/>
          <w:spacing w:val="-12"/>
          <w:szCs w:val="21"/>
        </w:rPr>
        <w:t>工位前抽取工位号，并根据抽签结果立即进入相应工位开始比赛。</w:t>
      </w:r>
    </w:p>
    <w:p w14:paraId="05A0661F">
      <w:pPr>
        <w:autoSpaceDE w:val="0"/>
        <w:autoSpaceDN w:val="0"/>
        <w:ind w:firstLine="372" w:firstLineChars="200"/>
        <w:textAlignment w:val="baseline"/>
        <w:rPr>
          <w:rFonts w:ascii="宋体" w:hAnsi="宋体" w:cs="宋体"/>
          <w:bCs/>
          <w:spacing w:val="-12"/>
          <w:szCs w:val="21"/>
        </w:rPr>
      </w:pPr>
      <w:bookmarkStart w:id="67" w:name="_Toc15868"/>
      <w:bookmarkStart w:id="68" w:name="_Toc28270"/>
      <w:r>
        <w:rPr>
          <w:rFonts w:ascii="宋体" w:hAnsi="宋体" w:cs="宋体"/>
          <w:bCs/>
          <w:spacing w:val="-12"/>
          <w:szCs w:val="21"/>
        </w:rPr>
        <w:t>3.日程安排</w:t>
      </w:r>
      <w:bookmarkEnd w:id="67"/>
      <w:bookmarkEnd w:id="68"/>
    </w:p>
    <w:p w14:paraId="4B73761E">
      <w:pPr>
        <w:autoSpaceDE w:val="0"/>
        <w:autoSpaceDN w:val="0"/>
        <w:ind w:firstLine="372" w:firstLineChars="200"/>
        <w:textAlignment w:val="baseline"/>
        <w:rPr>
          <w:rFonts w:hint="default" w:ascii="宋体" w:hAnsi="宋体" w:cs="宋体"/>
          <w:bCs/>
          <w:spacing w:val="-12"/>
          <w:szCs w:val="21"/>
          <w:lang w:val="en-US" w:eastAsia="zh-CN"/>
        </w:rPr>
      </w:pPr>
      <w:r>
        <w:rPr>
          <w:rFonts w:hint="eastAsia" w:ascii="宋体" w:hAnsi="宋体" w:cs="宋体"/>
          <w:spacing w:val="-12"/>
          <w:szCs w:val="21"/>
        </w:rPr>
        <w:t>本次比</w:t>
      </w:r>
      <w:r>
        <w:rPr>
          <w:rFonts w:hint="eastAsia" w:ascii="宋体" w:hAnsi="宋体" w:cs="宋体"/>
          <w:bCs/>
          <w:spacing w:val="-12"/>
          <w:szCs w:val="21"/>
        </w:rPr>
        <w:t>赛分 2 天进行，第一天进行模块A的比赛内容；第二天上午进行模块 B 的比赛内容； AB两个模块综合排名前1</w:t>
      </w:r>
      <w:r>
        <w:rPr>
          <w:rFonts w:hint="eastAsia" w:ascii="宋体" w:hAnsi="宋体" w:cs="宋体"/>
          <w:bCs/>
          <w:spacing w:val="-12"/>
          <w:szCs w:val="21"/>
          <w:lang w:val="en-US" w:eastAsia="zh-CN"/>
        </w:rPr>
        <w:t>2</w:t>
      </w:r>
      <w:r>
        <w:rPr>
          <w:rFonts w:hint="eastAsia" w:ascii="宋体" w:hAnsi="宋体" w:cs="宋体"/>
          <w:bCs/>
          <w:spacing w:val="-12"/>
          <w:szCs w:val="21"/>
        </w:rPr>
        <w:t>名的选手下午进行模块C的比赛。模块 B、C 的比赛时长均为 30 分钟，模块 A 比赛时长为60分钟，</w:t>
      </w:r>
      <w:r>
        <w:rPr>
          <w:rFonts w:hint="eastAsia" w:ascii="宋体" w:hAnsi="宋体" w:cs="宋体"/>
          <w:bCs/>
          <w:spacing w:val="-12"/>
          <w:szCs w:val="21"/>
          <w:lang w:val="en-US" w:eastAsia="zh-CN"/>
        </w:rPr>
        <w:t>具体日程安排待参赛人数确定后统一安排。</w:t>
      </w:r>
    </w:p>
    <w:p w14:paraId="714BA401">
      <w:pPr>
        <w:ind w:firstLine="420" w:firstLineChars="200"/>
        <w:outlineLvl w:val="1"/>
        <w:rPr>
          <w:b/>
          <w:bCs/>
          <w:spacing w:val="-6"/>
          <w:sz w:val="28"/>
          <w:szCs w:val="28"/>
        </w:rPr>
      </w:pPr>
      <w:bookmarkStart w:id="69" w:name="_Toc6096"/>
      <w:r>
        <w:fldChar w:fldCharType="begin"/>
      </w:r>
      <w:r>
        <w:instrText xml:space="preserve"> HYPERLINK \l "_Toc12558" </w:instrText>
      </w:r>
      <w:r>
        <w:fldChar w:fldCharType="separate"/>
      </w:r>
      <w:bookmarkStart w:id="70" w:name="_Toc135424228"/>
      <w:bookmarkStart w:id="71" w:name="_Toc135436583"/>
      <w:bookmarkStart w:id="72" w:name="_Toc135429296"/>
      <w:bookmarkStart w:id="73" w:name="_Toc135467058"/>
      <w:r>
        <w:rPr>
          <w:rFonts w:hint="eastAsia"/>
          <w:b/>
          <w:bCs/>
          <w:spacing w:val="-6"/>
          <w:sz w:val="28"/>
          <w:szCs w:val="28"/>
        </w:rPr>
        <w:t>（二）裁判员分组和职责</w:t>
      </w:r>
      <w:bookmarkEnd w:id="70"/>
      <w:bookmarkEnd w:id="71"/>
      <w:bookmarkEnd w:id="72"/>
      <w:bookmarkEnd w:id="73"/>
      <w:r>
        <w:rPr>
          <w:rFonts w:hint="eastAsia"/>
          <w:b/>
          <w:bCs/>
          <w:spacing w:val="-6"/>
          <w:sz w:val="28"/>
          <w:szCs w:val="28"/>
        </w:rPr>
        <w:fldChar w:fldCharType="end"/>
      </w:r>
      <w:bookmarkEnd w:id="69"/>
    </w:p>
    <w:p w14:paraId="1EE735DA">
      <w:pPr>
        <w:autoSpaceDE w:val="0"/>
        <w:autoSpaceDN w:val="0"/>
        <w:ind w:firstLine="372" w:firstLineChars="200"/>
        <w:textAlignment w:val="baseline"/>
        <w:rPr>
          <w:rFonts w:ascii="宋体" w:hAnsi="宋体" w:cs="宋体"/>
          <w:spacing w:val="-12"/>
          <w:szCs w:val="21"/>
        </w:rPr>
      </w:pPr>
      <w:bookmarkStart w:id="74" w:name="_Toc135467059"/>
      <w:bookmarkStart w:id="75" w:name="_Toc135424234"/>
      <w:bookmarkStart w:id="76" w:name="_Toc135429297"/>
      <w:bookmarkStart w:id="77" w:name="_Toc135436584"/>
      <w:r>
        <w:rPr>
          <w:rFonts w:hint="eastAsia" w:ascii="宋体" w:hAnsi="宋体" w:cs="宋体"/>
          <w:spacing w:val="-12"/>
          <w:szCs w:val="21"/>
        </w:rPr>
        <w:t>本次竞赛设立裁判组，由1名裁判长，若干裁判员组成。</w:t>
      </w:r>
    </w:p>
    <w:p w14:paraId="658BC8AC">
      <w:pPr>
        <w:autoSpaceDE w:val="0"/>
        <w:autoSpaceDN w:val="0"/>
        <w:ind w:firstLine="372" w:firstLineChars="200"/>
        <w:textAlignment w:val="baseline"/>
        <w:rPr>
          <w:rFonts w:ascii="宋体" w:hAnsi="宋体" w:cs="宋体"/>
          <w:spacing w:val="-12"/>
          <w:szCs w:val="21"/>
        </w:rPr>
      </w:pPr>
      <w:bookmarkStart w:id="78" w:name="_Toc10095"/>
      <w:bookmarkStart w:id="79" w:name="_Toc3019"/>
      <w:r>
        <w:rPr>
          <w:rFonts w:hint="eastAsia" w:ascii="宋体" w:hAnsi="宋体" w:cs="宋体"/>
          <w:spacing w:val="-12"/>
          <w:szCs w:val="21"/>
        </w:rPr>
        <w:t>1.裁判长</w:t>
      </w:r>
      <w:bookmarkEnd w:id="78"/>
      <w:bookmarkEnd w:id="79"/>
    </w:p>
    <w:p w14:paraId="7AF19C31">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裁判长按照本项目技术文件，对裁判员进行培训和工作分工，带领裁判员对本项目比赛设备设施和现场布置情况进行检验；组织选手进行安全培训并熟悉赛场及设备，保障所有选手在比赛前掌握必备的安全知识和安全操作规范；比赛期间组织裁判员执裁，并按照相关要求和程序，处理项目内出现的问题；组织统计、汇总并及时录入大赛成绩等工作；赛后组织开展技术点评。裁判长应公平公正组织执裁工作，不参与评分。</w:t>
      </w:r>
    </w:p>
    <w:p w14:paraId="740407A3">
      <w:pPr>
        <w:autoSpaceDE w:val="0"/>
        <w:autoSpaceDN w:val="0"/>
        <w:ind w:firstLine="372" w:firstLineChars="200"/>
        <w:textAlignment w:val="baseline"/>
        <w:rPr>
          <w:rFonts w:ascii="宋体" w:hAnsi="宋体" w:cs="宋体"/>
          <w:spacing w:val="-12"/>
          <w:szCs w:val="21"/>
        </w:rPr>
      </w:pPr>
      <w:bookmarkStart w:id="80" w:name="_Toc30575"/>
      <w:bookmarkStart w:id="81" w:name="_Toc14186"/>
      <w:r>
        <w:rPr>
          <w:rFonts w:hint="eastAsia" w:ascii="宋体" w:hAnsi="宋体" w:cs="宋体"/>
          <w:spacing w:val="-12"/>
          <w:szCs w:val="21"/>
        </w:rPr>
        <w:t>2.裁判员</w:t>
      </w:r>
      <w:bookmarkEnd w:id="80"/>
      <w:bookmarkEnd w:id="81"/>
    </w:p>
    <w:p w14:paraId="28B57E2F">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（1）</w:t>
      </w:r>
      <w:r>
        <w:rPr>
          <w:rFonts w:ascii="宋体" w:hAnsi="宋体" w:cs="宋体"/>
          <w:spacing w:val="-12"/>
          <w:szCs w:val="21"/>
        </w:rPr>
        <w:t>现场裁判负责引导选手在赛位或等候区域等待竞赛指令。期间，现场裁判需向选手宣读竞赛须知。提醒选手遵照安全规定和操作规范进行竞赛。竞赛过程中，裁判员不得单独接近选手，除非选手举手示意裁判员解决竞赛中出现的问题，或选手出现严重违规行为。裁判员无权解释竞赛赛题内容。在具有危险性的作业环节，裁判员要严防选手出现错误操作。</w:t>
      </w:r>
    </w:p>
    <w:p w14:paraId="3B6BC80B">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（2）在工作时间内，裁判员不得无故迟到、早退、中途离开工作地或放弃工作，如有违反将依据竞赛技术规则违规处理条款给予相应处罚。</w:t>
      </w:r>
    </w:p>
    <w:p w14:paraId="3E4BD6DD">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（3）裁判员在工作期间不得使用手机、照相机、录像机等设备。</w:t>
      </w:r>
    </w:p>
    <w:p w14:paraId="0F2BBB5F">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（4）裁判员应按竞赛行为规范行使职权，不因任何机构和个人而影响本人履行职责，若有违规行为将按相关违规处理办法处理。</w:t>
      </w:r>
    </w:p>
    <w:p w14:paraId="2E7BF88D">
      <w:pPr>
        <w:autoSpaceDE w:val="0"/>
        <w:autoSpaceDN w:val="0"/>
        <w:ind w:firstLine="372" w:firstLineChars="200"/>
        <w:textAlignment w:val="baseline"/>
        <w:rPr>
          <w:rFonts w:ascii="宋体" w:hAnsi="宋体" w:cs="宋体"/>
          <w:spacing w:val="-12"/>
          <w:szCs w:val="21"/>
        </w:rPr>
      </w:pPr>
      <w:r>
        <w:rPr>
          <w:rFonts w:ascii="宋体" w:hAnsi="宋体" w:cs="宋体"/>
          <w:spacing w:val="-12"/>
          <w:szCs w:val="21"/>
        </w:rPr>
        <w:t>（5）竞赛作品加密和解密</w:t>
      </w:r>
    </w:p>
    <w:p w14:paraId="61B740D6">
      <w:pPr>
        <w:autoSpaceDE w:val="0"/>
        <w:autoSpaceDN w:val="0"/>
        <w:ind w:firstLine="372" w:firstLineChars="200"/>
        <w:textAlignment w:val="baseline"/>
        <w:rPr>
          <w:rFonts w:ascii="宋体" w:hAnsi="宋体" w:cs="宋体"/>
          <w:spacing w:val="-12"/>
          <w:szCs w:val="21"/>
        </w:rPr>
      </w:pPr>
      <w:r>
        <w:rPr>
          <w:rFonts w:ascii="宋体" w:hAnsi="宋体" w:cs="宋体"/>
          <w:spacing w:val="-12"/>
          <w:szCs w:val="21"/>
        </w:rPr>
        <w:t>加密由加密裁判员负责；评分结果得出后，加密裁判在监督人员监督下对加密结果进行解密，并形成最终成绩单。</w:t>
      </w:r>
    </w:p>
    <w:p w14:paraId="7D66B4CC">
      <w:pPr>
        <w:autoSpaceDE w:val="0"/>
        <w:autoSpaceDN w:val="0"/>
        <w:ind w:firstLine="372" w:firstLineChars="200"/>
        <w:textAlignment w:val="baseline"/>
        <w:rPr>
          <w:rFonts w:ascii="宋体" w:hAnsi="宋体" w:cs="宋体"/>
          <w:spacing w:val="-12"/>
          <w:szCs w:val="21"/>
        </w:rPr>
      </w:pPr>
      <w:r>
        <w:rPr>
          <w:rFonts w:ascii="宋体" w:hAnsi="宋体" w:cs="宋体"/>
          <w:spacing w:val="-12"/>
          <w:szCs w:val="21"/>
        </w:rPr>
        <w:t>（6）竞赛材料和作品管理</w:t>
      </w:r>
    </w:p>
    <w:p w14:paraId="63923168">
      <w:pPr>
        <w:autoSpaceDE w:val="0"/>
        <w:autoSpaceDN w:val="0"/>
        <w:ind w:firstLine="372" w:firstLineChars="200"/>
        <w:textAlignment w:val="baseline"/>
        <w:rPr>
          <w:rFonts w:ascii="宋体" w:hAnsi="宋体" w:cs="宋体"/>
          <w:spacing w:val="-12"/>
          <w:szCs w:val="21"/>
        </w:rPr>
      </w:pPr>
      <w:r>
        <w:rPr>
          <w:rFonts w:ascii="宋体" w:hAnsi="宋体" w:cs="宋体"/>
          <w:spacing w:val="-12"/>
          <w:szCs w:val="21"/>
        </w:rPr>
        <w:t>现场裁判须在规定时间发放赛题、竞赛技术设备，于赛后回收、密封所有竞赛作品和资料并将其交给承办单位就地保存。</w:t>
      </w:r>
    </w:p>
    <w:p w14:paraId="1C88AA09">
      <w:pPr>
        <w:autoSpaceDE w:val="0"/>
        <w:autoSpaceDN w:val="0"/>
        <w:ind w:firstLine="372" w:firstLineChars="200"/>
        <w:textAlignment w:val="baseline"/>
        <w:rPr>
          <w:rFonts w:ascii="宋体" w:hAnsi="宋体" w:cs="宋体"/>
          <w:spacing w:val="-12"/>
          <w:szCs w:val="21"/>
        </w:rPr>
      </w:pPr>
      <w:r>
        <w:rPr>
          <w:rFonts w:ascii="宋体" w:hAnsi="宋体" w:cs="宋体"/>
          <w:spacing w:val="-12"/>
          <w:szCs w:val="21"/>
        </w:rPr>
        <w:t>（7）成绩复核及数据录入、统计</w:t>
      </w:r>
    </w:p>
    <w:p w14:paraId="77CDEE18">
      <w:pPr>
        <w:autoSpaceDE w:val="0"/>
        <w:autoSpaceDN w:val="0"/>
        <w:ind w:firstLine="372" w:firstLineChars="200"/>
        <w:textAlignment w:val="baseline"/>
        <w:rPr>
          <w:rFonts w:ascii="宋体" w:hAnsi="宋体" w:cs="宋体"/>
          <w:spacing w:val="-12"/>
          <w:szCs w:val="21"/>
        </w:rPr>
      </w:pPr>
      <w:r>
        <w:rPr>
          <w:rFonts w:ascii="宋体" w:hAnsi="宋体" w:cs="宋体"/>
          <w:spacing w:val="-12"/>
          <w:szCs w:val="21"/>
        </w:rPr>
        <w:t>如在成绩复核中发现错误，裁判长须会同相关裁判更正成绩并签字确认。</w:t>
      </w:r>
    </w:p>
    <w:p w14:paraId="2DAA4184">
      <w:pPr>
        <w:ind w:firstLine="538" w:firstLineChars="200"/>
        <w:outlineLvl w:val="1"/>
        <w:rPr>
          <w:b/>
          <w:bCs/>
          <w:spacing w:val="-6"/>
          <w:sz w:val="28"/>
          <w:szCs w:val="28"/>
        </w:rPr>
      </w:pPr>
      <w:bookmarkStart w:id="82" w:name="_Toc6189"/>
      <w:r>
        <w:rPr>
          <w:rFonts w:hint="eastAsia"/>
          <w:b/>
          <w:bCs/>
          <w:spacing w:val="-6"/>
          <w:sz w:val="28"/>
          <w:szCs w:val="28"/>
        </w:rPr>
        <w:t>（</w:t>
      </w:r>
      <w:r>
        <w:fldChar w:fldCharType="begin"/>
      </w:r>
      <w:r>
        <w:instrText xml:space="preserve"> HYPERLINK \l "_Toc29349" </w:instrText>
      </w:r>
      <w:r>
        <w:fldChar w:fldCharType="separate"/>
      </w:r>
      <w:r>
        <w:rPr>
          <w:rFonts w:hint="eastAsia"/>
          <w:b/>
          <w:bCs/>
          <w:spacing w:val="-6"/>
          <w:sz w:val="28"/>
          <w:szCs w:val="28"/>
        </w:rPr>
        <w:t>三）竞赛实施细则</w:t>
      </w:r>
      <w:bookmarkEnd w:id="74"/>
      <w:bookmarkEnd w:id="75"/>
      <w:bookmarkEnd w:id="76"/>
      <w:bookmarkEnd w:id="77"/>
      <w:r>
        <w:rPr>
          <w:rFonts w:hint="eastAsia"/>
          <w:b/>
          <w:bCs/>
          <w:spacing w:val="-6"/>
          <w:sz w:val="28"/>
          <w:szCs w:val="28"/>
        </w:rPr>
        <w:fldChar w:fldCharType="end"/>
      </w:r>
      <w:bookmarkEnd w:id="82"/>
    </w:p>
    <w:p w14:paraId="55A93D8A">
      <w:pPr>
        <w:autoSpaceDE w:val="0"/>
        <w:autoSpaceDN w:val="0"/>
        <w:ind w:firstLine="396" w:firstLineChars="200"/>
        <w:textAlignment w:val="baseline"/>
        <w:outlineLvl w:val="1"/>
        <w:rPr>
          <w:rFonts w:ascii="宋体" w:hAnsi="宋体" w:cs="宋体"/>
          <w:spacing w:val="-12"/>
          <w:szCs w:val="21"/>
        </w:rPr>
      </w:pPr>
      <w:bookmarkStart w:id="83" w:name="_Toc4025"/>
      <w:bookmarkStart w:id="84" w:name="_Toc1550"/>
      <w:bookmarkStart w:id="85" w:name="_Toc24017"/>
      <w:bookmarkStart w:id="86" w:name="_Toc14075"/>
      <w:r>
        <w:rPr>
          <w:rFonts w:hint="eastAsia" w:ascii="宋体" w:hAnsi="宋体" w:cs="宋体"/>
          <w:spacing w:val="-6"/>
          <w:szCs w:val="21"/>
        </w:rPr>
        <w:t>1.赛前准备</w:t>
      </w:r>
      <w:bookmarkEnd w:id="83"/>
      <w:bookmarkEnd w:id="84"/>
      <w:bookmarkEnd w:id="85"/>
      <w:bookmarkEnd w:id="86"/>
    </w:p>
    <w:p w14:paraId="771F5E69">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根据新能源汽车智能化技术项目实际需要，裁判长与承办单位于赛前2-3天对场地设备设施等准备工作进行最终确认；并在赛前1-2天进行集中培训、技术对接和设备设施、耗材确认。</w:t>
      </w:r>
    </w:p>
    <w:p w14:paraId="68C3187F">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①参赛选手报到时需领取参赛证卡、参赛资料、参赛物料，报到完毕后。安排全体选手熟悉比赛场地和设备。</w:t>
      </w:r>
    </w:p>
    <w:p w14:paraId="45394B6F">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②选手在熟悉赛场及比赛期间不得使用手机、照相机、录像机等设备。不得携带和使用自带的任何存储设备；</w:t>
      </w:r>
    </w:p>
    <w:p w14:paraId="48449A65">
      <w:pPr>
        <w:autoSpaceDE w:val="0"/>
        <w:autoSpaceDN w:val="0"/>
        <w:ind w:firstLine="396" w:firstLineChars="200"/>
        <w:textAlignment w:val="baseline"/>
        <w:outlineLvl w:val="1"/>
        <w:rPr>
          <w:rFonts w:ascii="宋体" w:hAnsi="宋体" w:cs="宋体"/>
          <w:spacing w:val="-12"/>
          <w:szCs w:val="21"/>
        </w:rPr>
      </w:pPr>
      <w:bookmarkStart w:id="87" w:name="_Toc15052"/>
      <w:bookmarkStart w:id="88" w:name="_Toc3101"/>
      <w:bookmarkStart w:id="89" w:name="_Toc27641"/>
      <w:bookmarkStart w:id="90" w:name="_Toc10189"/>
      <w:r>
        <w:rPr>
          <w:rFonts w:hint="eastAsia" w:ascii="宋体" w:hAnsi="宋体" w:cs="宋体"/>
          <w:spacing w:val="-6"/>
          <w:szCs w:val="21"/>
        </w:rPr>
        <w:t>2.竞赛实施</w:t>
      </w:r>
      <w:bookmarkEnd w:id="87"/>
      <w:bookmarkEnd w:id="88"/>
      <w:bookmarkEnd w:id="89"/>
      <w:bookmarkEnd w:id="90"/>
    </w:p>
    <w:p w14:paraId="52E7B820">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①在比赛过程中，选手应遵守安全操作规程，接受裁判员的监督和警示，确保参赛选手人身安全及设备安全。选手在比赛中违反安全操作规定的必须立即改正，经裁判许可后方可继续比赛。</w:t>
      </w:r>
    </w:p>
    <w:p w14:paraId="0C2A1E71">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②正式比赛期间，除裁判长外任何人员不得主动接近选手及其工作区域，不许主动与选手接触与交流，选手有问题可向裁判反映。</w:t>
      </w:r>
    </w:p>
    <w:p w14:paraId="2F5ADC6D">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③由裁判长统一告知选手比赛规则、时间和流程后，裁判长宣布比赛正式开始并计时。比赛过程中，选手若需休息、饮水或去洗手间，一律计算在操作时间内。</w:t>
      </w:r>
    </w:p>
    <w:p w14:paraId="2ED4ADEA">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④选手进入赛场后，不得擅自离开赛场，因病或其他原因离开赛场或终止比赛，应向裁判示意，须经赛场裁判长同意，并在赛场记录表上签字确认后，方可离开赛场并在赛场工作人员指引下到达指定地点。</w:t>
      </w:r>
    </w:p>
    <w:p w14:paraId="5C3ED4E7">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⑤因参赛选手个人误操作造成人身安全事故或设备故障时，裁判长有权中止选手竞赛。如非参赛选手个人因素出现的设备或工具故障而无法继续竞赛时，参赛选手可提出更换设备或工具的要求，裁判长同意并更换后，参赛选手可继续参加竞赛，并给参赛选手补足所耽误的竞赛时间。选手自带设备和工具，赛场不负责更换。</w:t>
      </w:r>
    </w:p>
    <w:p w14:paraId="4FC7B78F">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⑥参赛选手如提前结束竞赛，应举手向裁判员报告，竞赛结束时间由裁判员进行记录。参赛选手结束竞赛后不得再进行任何操作，离场后也不得再进入赛场。</w:t>
      </w:r>
    </w:p>
    <w:p w14:paraId="4FB2A6E9">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⑦裁判长在竞赛结束前</w:t>
      </w:r>
      <w:r>
        <w:rPr>
          <w:rFonts w:hint="eastAsia" w:ascii="宋体" w:hAnsi="宋体" w:cs="宋体"/>
          <w:spacing w:val="-12"/>
          <w:szCs w:val="21"/>
          <w:lang w:val="en-US" w:eastAsia="zh-CN"/>
        </w:rPr>
        <w:t>5</w:t>
      </w:r>
      <w:r>
        <w:rPr>
          <w:rFonts w:hint="eastAsia" w:ascii="宋体" w:hAnsi="宋体" w:cs="宋体"/>
          <w:spacing w:val="-12"/>
          <w:szCs w:val="21"/>
        </w:rPr>
        <w:t>分钟、</w:t>
      </w:r>
      <w:r>
        <w:rPr>
          <w:rFonts w:hint="eastAsia" w:ascii="宋体" w:hAnsi="宋体" w:cs="宋体"/>
          <w:spacing w:val="-12"/>
          <w:szCs w:val="21"/>
          <w:lang w:val="en-US" w:eastAsia="zh-CN"/>
        </w:rPr>
        <w:t>2</w:t>
      </w:r>
      <w:r>
        <w:rPr>
          <w:rFonts w:hint="eastAsia" w:ascii="宋体" w:hAnsi="宋体" w:cs="宋体"/>
          <w:spacing w:val="-12"/>
          <w:szCs w:val="21"/>
        </w:rPr>
        <w:t>分钟进行竞赛剩余时间提醒。裁判长发布竞赛结束指令后，未完成任务的参赛选手应立即停止操作，不得以任何理由拖延竞赛时间，并按要求清理赛位。</w:t>
      </w:r>
    </w:p>
    <w:p w14:paraId="5B2EEC0C">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⑧比赛结束讯号声响起以后，选手应立即停止当前作业。</w:t>
      </w:r>
    </w:p>
    <w:p w14:paraId="73DB5AF2">
      <w:pPr>
        <w:autoSpaceDE w:val="0"/>
        <w:autoSpaceDN w:val="0"/>
        <w:ind w:firstLine="396" w:firstLineChars="200"/>
        <w:textAlignment w:val="baseline"/>
        <w:outlineLvl w:val="1"/>
        <w:rPr>
          <w:rFonts w:ascii="宋体" w:hAnsi="宋体" w:cs="宋体"/>
          <w:spacing w:val="-12"/>
          <w:szCs w:val="21"/>
        </w:rPr>
      </w:pPr>
      <w:bookmarkStart w:id="91" w:name="_Toc24638"/>
      <w:bookmarkStart w:id="92" w:name="_Toc7364"/>
      <w:bookmarkStart w:id="93" w:name="_Toc9938"/>
      <w:r>
        <w:rPr>
          <w:rFonts w:hint="eastAsia" w:ascii="宋体" w:hAnsi="宋体" w:cs="宋体"/>
          <w:spacing w:val="-6"/>
          <w:szCs w:val="21"/>
        </w:rPr>
        <w:t>3.技术违规处理</w:t>
      </w:r>
      <w:bookmarkEnd w:id="91"/>
      <w:bookmarkEnd w:id="92"/>
      <w:bookmarkEnd w:id="93"/>
    </w:p>
    <w:p w14:paraId="68610990">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①选手着装、用品等在外观上不应显示选手所在单位等个人信息。不得携带其他未经组委会认可的设备、工具、机具、材料等参赛，不听劝告的取消比赛资格。</w:t>
      </w:r>
    </w:p>
    <w:p w14:paraId="4092746D">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②选手不得损坏、拆卸、改装赛场提供的设备、工具和工作台等设施。</w:t>
      </w:r>
    </w:p>
    <w:p w14:paraId="74E5F804">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③选手不得在任何竞赛区域、位置、赛件上作任何涉嫌作弊的标记。如比赛开始前发现有明显痕迹，可上报裁判员进行处理，严重者可按作弊处理。</w:t>
      </w:r>
    </w:p>
    <w:p w14:paraId="186FCF6D">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④在完成竞赛任务的过程中，因操作不当导致事故，扣10～20分，情况严重者取消比赛资格。</w:t>
      </w:r>
    </w:p>
    <w:p w14:paraId="3AA50964">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⑤因违规操作损坏赛场提供的设备、污染赛场环境等不符合职业规范的行为，视情节扣 5～10 分。</w:t>
      </w:r>
    </w:p>
    <w:p w14:paraId="256C4EF3">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⑥扰乱赛场秩序，干扰裁判员工作，视情节扣5～10分，情况严重者取消比赛资格。</w:t>
      </w:r>
    </w:p>
    <w:p w14:paraId="09E9C769">
      <w:pPr>
        <w:autoSpaceDE w:val="0"/>
        <w:autoSpaceDN w:val="0"/>
        <w:ind w:firstLine="396" w:firstLineChars="200"/>
        <w:textAlignment w:val="baseline"/>
        <w:outlineLvl w:val="1"/>
        <w:rPr>
          <w:rFonts w:ascii="宋体" w:hAnsi="宋体" w:cs="宋体"/>
          <w:spacing w:val="-12"/>
          <w:szCs w:val="21"/>
        </w:rPr>
      </w:pPr>
      <w:bookmarkStart w:id="94" w:name="_Toc15332"/>
      <w:bookmarkStart w:id="95" w:name="_Toc13252"/>
      <w:bookmarkStart w:id="96" w:name="_Toc4956"/>
      <w:bookmarkStart w:id="97" w:name="_Toc18886"/>
      <w:r>
        <w:rPr>
          <w:rFonts w:hint="eastAsia" w:ascii="宋体" w:hAnsi="宋体" w:cs="宋体"/>
          <w:spacing w:val="-6"/>
          <w:szCs w:val="21"/>
        </w:rPr>
        <w:t>4.问题或争议处理</w:t>
      </w:r>
      <w:bookmarkEnd w:id="94"/>
      <w:bookmarkEnd w:id="95"/>
      <w:bookmarkEnd w:id="96"/>
      <w:bookmarkEnd w:id="97"/>
    </w:p>
    <w:p w14:paraId="6A050F3E">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大赛期间，与竞赛有关的问题或争议，各方应通过正当渠道并按程序反映和申诉，不得擅自传播、扩散未经核查证实的言论、信息。参赛选手、裁判员发现竞赛过程中存在问题或争议，应向裁判长反映。裁判长依据相关规定处理或组织比赛现场裁判员研究解决。处理意见需比赛现场全体裁判员表决的，须获全体裁判员半数以上通过。最终处理意见应及时告知意见反映人，并填写《问题或争议处理记录表》。</w:t>
      </w:r>
    </w:p>
    <w:p w14:paraId="4EC3CBD8">
      <w:pPr>
        <w:autoSpaceDE w:val="0"/>
        <w:autoSpaceDN w:val="0"/>
        <w:ind w:firstLine="396" w:firstLineChars="200"/>
        <w:textAlignment w:val="baseline"/>
        <w:outlineLvl w:val="1"/>
        <w:rPr>
          <w:rFonts w:ascii="宋体" w:hAnsi="宋体" w:cs="宋体"/>
          <w:spacing w:val="-12"/>
          <w:szCs w:val="21"/>
        </w:rPr>
      </w:pPr>
      <w:bookmarkStart w:id="98" w:name="bookmark26"/>
      <w:bookmarkEnd w:id="98"/>
      <w:bookmarkStart w:id="99" w:name="bookmark52"/>
      <w:bookmarkEnd w:id="99"/>
      <w:bookmarkStart w:id="100" w:name="bookmark14"/>
      <w:bookmarkEnd w:id="100"/>
      <w:bookmarkStart w:id="101" w:name="_Toc17560"/>
      <w:bookmarkStart w:id="102" w:name="_Toc20653"/>
      <w:bookmarkStart w:id="103" w:name="_Toc379"/>
      <w:bookmarkStart w:id="104" w:name="_Toc919"/>
      <w:r>
        <w:rPr>
          <w:rFonts w:hint="eastAsia" w:ascii="宋体" w:hAnsi="宋体" w:cs="宋体"/>
          <w:spacing w:val="-6"/>
          <w:szCs w:val="21"/>
        </w:rPr>
        <w:t>5.本项目特别规定</w:t>
      </w:r>
      <w:bookmarkEnd w:id="101"/>
      <w:bookmarkEnd w:id="102"/>
      <w:bookmarkEnd w:id="103"/>
      <w:bookmarkEnd w:id="104"/>
    </w:p>
    <w:p w14:paraId="79D1C0DB">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①选手须凭本人参赛证和身份证原件进入赛场，证件个人信息须与参赛证信息一致，否则不得参加比赛。（以上证件复印件无效）</w:t>
      </w:r>
    </w:p>
    <w:p w14:paraId="3271AED8">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②选手参加比赛，迟到十五分钟以上不得入场。</w:t>
      </w:r>
    </w:p>
    <w:p w14:paraId="5BCA8516">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③选手参加比赛，应穿戴整洁，衣冠不端者不可入内。</w:t>
      </w:r>
    </w:p>
    <w:p w14:paraId="58432B06">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④选手应爱护赛场设施设备，操作规范，注意安全。</w:t>
      </w:r>
    </w:p>
    <w:p w14:paraId="5E0FE210">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⑤选手严禁携带各类通讯工具进入赛场，严禁在比赛中使用通信工具。</w:t>
      </w:r>
    </w:p>
    <w:p w14:paraId="79769E3C">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⑥选手必须严格遵守竞赛区域有关规定，严禁作弊或找人代替， 自觉服从裁判长、 裁判员的管理。</w:t>
      </w:r>
    </w:p>
    <w:p w14:paraId="1D5A5792">
      <w:pPr>
        <w:widowControl/>
        <w:autoSpaceDE w:val="0"/>
        <w:autoSpaceDN w:val="0"/>
        <w:adjustRightInd w:val="0"/>
        <w:ind w:firstLine="372" w:firstLineChars="200"/>
        <w:textAlignment w:val="baseline"/>
        <w:rPr>
          <w:rFonts w:ascii="宋体" w:hAnsi="宋体" w:cs="宋体"/>
          <w:spacing w:val="-12"/>
          <w:szCs w:val="21"/>
        </w:rPr>
      </w:pPr>
    </w:p>
    <w:p w14:paraId="4626AEA6">
      <w:pPr>
        <w:adjustRightInd w:val="0"/>
        <w:outlineLvl w:val="0"/>
        <w:rPr>
          <w:b/>
          <w:bCs/>
          <w:spacing w:val="-6"/>
          <w:sz w:val="32"/>
          <w:szCs w:val="32"/>
        </w:rPr>
      </w:pPr>
      <w:bookmarkStart w:id="105" w:name="_Toc13226"/>
      <w:bookmarkStart w:id="106" w:name="_Toc9739"/>
      <w:r>
        <w:rPr>
          <w:rFonts w:hint="eastAsia"/>
          <w:b/>
          <w:bCs/>
          <w:spacing w:val="-6"/>
          <w:sz w:val="32"/>
          <w:szCs w:val="32"/>
        </w:rPr>
        <w:t>四、竞赛场地、设施设备</w:t>
      </w:r>
      <w:bookmarkEnd w:id="105"/>
      <w:r>
        <w:rPr>
          <w:rFonts w:hint="eastAsia"/>
          <w:b/>
          <w:bCs/>
          <w:spacing w:val="-6"/>
          <w:sz w:val="32"/>
          <w:szCs w:val="32"/>
        </w:rPr>
        <w:t>等安排</w:t>
      </w:r>
      <w:bookmarkEnd w:id="106"/>
    </w:p>
    <w:p w14:paraId="581E1090">
      <w:pPr>
        <w:ind w:firstLine="538" w:firstLineChars="200"/>
        <w:outlineLvl w:val="1"/>
        <w:rPr>
          <w:b/>
          <w:bCs/>
          <w:spacing w:val="-6"/>
          <w:sz w:val="28"/>
          <w:szCs w:val="28"/>
        </w:rPr>
      </w:pPr>
      <w:bookmarkStart w:id="107" w:name="_Toc19914"/>
      <w:bookmarkStart w:id="108" w:name="_Toc13017"/>
      <w:bookmarkStart w:id="109" w:name="_Toc26406"/>
      <w:r>
        <w:rPr>
          <w:rFonts w:hint="eastAsia"/>
          <w:b/>
          <w:bCs/>
          <w:spacing w:val="-6"/>
          <w:sz w:val="28"/>
          <w:szCs w:val="28"/>
        </w:rPr>
        <w:t>（一）</w:t>
      </w:r>
      <w:bookmarkEnd w:id="107"/>
      <w:bookmarkEnd w:id="108"/>
      <w:r>
        <w:rPr>
          <w:rFonts w:hint="eastAsia"/>
          <w:b/>
          <w:bCs/>
          <w:spacing w:val="-6"/>
          <w:sz w:val="28"/>
          <w:szCs w:val="28"/>
        </w:rPr>
        <w:t>赛场规格要求</w:t>
      </w:r>
      <w:bookmarkEnd w:id="109"/>
    </w:p>
    <w:p w14:paraId="131BFBDD">
      <w:pPr>
        <w:ind w:firstLine="432" w:firstLineChars="200"/>
        <w:rPr>
          <w:rFonts w:ascii="宋体" w:hAnsi="宋体" w:cs="宋体"/>
          <w:spacing w:val="3"/>
          <w:szCs w:val="21"/>
        </w:rPr>
      </w:pPr>
      <w:r>
        <w:rPr>
          <w:rFonts w:hint="eastAsia" w:ascii="宋体" w:hAnsi="宋体" w:cs="宋体"/>
          <w:spacing w:val="3"/>
          <w:szCs w:val="21"/>
        </w:rPr>
        <w:t>竞赛现场设置检录区、竞赛操作区、裁判评判区、工具材料区、选手候赛区、医疗区、观摩通道等区域，并根据需要设置选手自带工具材料柜等。选手候赛区应与比赛区域物理隔离，配备志愿者，严禁无关人员进入，严禁与外界交流。各区域之间有明显标志或警示带；标明消防器材、安全通道、洗手间等位置。</w:t>
      </w:r>
    </w:p>
    <w:p w14:paraId="735840A9">
      <w:pPr>
        <w:ind w:firstLine="432" w:firstLineChars="200"/>
        <w:rPr>
          <w:rFonts w:ascii="宋体" w:hAnsi="宋体" w:cs="宋体"/>
          <w:spacing w:val="3"/>
          <w:szCs w:val="21"/>
        </w:rPr>
      </w:pPr>
      <w:r>
        <w:rPr>
          <w:rFonts w:hint="eastAsia" w:ascii="宋体" w:hAnsi="宋体" w:cs="宋体"/>
          <w:spacing w:val="3"/>
          <w:szCs w:val="21"/>
        </w:rPr>
        <w:t>本赛项需室内、室外两个场地，模块A、模块B在室内操作，模块C在室外操作。其中室内场地面积为400平方米， 每个工位的面积80平方米（长度10 米、宽度8 米）。赛场符合防火安全规定，防火疏散标识清晰、齐全，疏散通道畅通；赛场采光、照明和通风良好，提供稳定的水、电、气源，并配有供电应急设备等。</w:t>
      </w:r>
    </w:p>
    <w:p w14:paraId="39E77E10">
      <w:pPr>
        <w:widowControl/>
        <w:autoSpaceDE w:val="0"/>
        <w:autoSpaceDN w:val="0"/>
        <w:adjustRightInd w:val="0"/>
        <w:ind w:firstLine="432" w:firstLineChars="200"/>
        <w:textAlignment w:val="baseline"/>
        <w:rPr>
          <w:rFonts w:ascii="宋体" w:hAnsi="宋体" w:cs="宋体"/>
          <w:spacing w:val="3"/>
          <w:szCs w:val="21"/>
        </w:rPr>
      </w:pPr>
      <w:r>
        <w:rPr>
          <w:rFonts w:hint="eastAsia" w:ascii="宋体" w:hAnsi="宋体" w:cs="宋体"/>
          <w:spacing w:val="3"/>
          <w:szCs w:val="21"/>
        </w:rPr>
        <w:t>室外场地面积为3000平方米，用于实车自动驾驶功能测试，为4条长100米、宽3.75m的双向单车道。</w:t>
      </w:r>
    </w:p>
    <w:p w14:paraId="6ABFE21F">
      <w:pPr>
        <w:autoSpaceDE w:val="0"/>
        <w:autoSpaceDN w:val="0"/>
        <w:ind w:firstLine="372" w:firstLineChars="200"/>
        <w:textAlignment w:val="baseline"/>
        <w:rPr>
          <w:rFonts w:ascii="宋体" w:hAnsi="宋体" w:cs="宋体"/>
          <w:spacing w:val="-12"/>
          <w:szCs w:val="21"/>
        </w:rPr>
      </w:pPr>
      <w:bookmarkStart w:id="110" w:name="_Toc22038"/>
      <w:r>
        <w:rPr>
          <w:rFonts w:hint="eastAsia" w:ascii="宋体" w:hAnsi="宋体" w:cs="宋体"/>
          <w:spacing w:val="-12"/>
          <w:szCs w:val="21"/>
        </w:rPr>
        <w:t>1.室内场地布置图（长度单位：cm）</w:t>
      </w:r>
      <w:bookmarkEnd w:id="110"/>
    </w:p>
    <w:p w14:paraId="5FD2E49E">
      <w:pPr>
        <w:autoSpaceDE w:val="0"/>
        <w:autoSpaceDN w:val="0"/>
        <w:jc w:val="center"/>
        <w:textAlignment w:val="baseline"/>
        <w:rPr>
          <w:rFonts w:ascii="宋体" w:hAnsi="宋体" w:cs="宋体"/>
          <w:b/>
          <w:bCs/>
          <w:spacing w:val="-6"/>
          <w:szCs w:val="21"/>
          <w:highlight w:val="yellow"/>
          <w:shd w:val="clear" w:color="FFFFFF" w:fill="D9D9D9"/>
        </w:rPr>
      </w:pPr>
      <w:r>
        <w:rPr>
          <w:rFonts w:hint="eastAsia" w:asciiTheme="minorEastAsia" w:hAnsiTheme="minorEastAsia" w:eastAsiaTheme="minorEastAsia" w:cstheme="minorEastAsia"/>
          <w:color w:val="000000"/>
          <w:kern w:val="0"/>
          <w:szCs w:val="21"/>
          <w:lang w:bidi="ar"/>
        </w:rPr>
        <w:drawing>
          <wp:inline distT="0" distB="0" distL="114300" distR="114300">
            <wp:extent cx="3352165" cy="5215255"/>
            <wp:effectExtent l="0" t="0" r="63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3352165" cy="5215255"/>
                    </a:xfrm>
                    <a:prstGeom prst="rect">
                      <a:avLst/>
                    </a:prstGeom>
                  </pic:spPr>
                </pic:pic>
              </a:graphicData>
            </a:graphic>
          </wp:inline>
        </w:drawing>
      </w:r>
    </w:p>
    <w:p w14:paraId="351C32B6">
      <w:pPr>
        <w:autoSpaceDE w:val="0"/>
        <w:autoSpaceDN w:val="0"/>
        <w:ind w:firstLine="372" w:firstLineChars="200"/>
        <w:textAlignment w:val="baseline"/>
        <w:rPr>
          <w:rFonts w:ascii="宋体" w:hAnsi="宋体" w:cs="宋体"/>
          <w:spacing w:val="-12"/>
          <w:szCs w:val="21"/>
        </w:rPr>
      </w:pPr>
      <w:r>
        <w:rPr>
          <w:rFonts w:hint="eastAsia" w:ascii="宋体" w:hAnsi="宋体" w:cs="宋体"/>
          <w:spacing w:val="-12"/>
          <w:szCs w:val="21"/>
        </w:rPr>
        <w:t>2.室外工位布置图（长度单位：cm）</w:t>
      </w:r>
    </w:p>
    <w:p w14:paraId="26163E0F">
      <w:pPr>
        <w:autoSpaceDE w:val="0"/>
        <w:autoSpaceDN w:val="0"/>
        <w:ind w:firstLine="420" w:firstLineChars="200"/>
        <w:jc w:val="center"/>
        <w:textAlignment w:val="baseline"/>
        <w:rPr>
          <w:rFonts w:ascii="宋体" w:hAnsi="宋体" w:cs="宋体"/>
          <w:spacing w:val="-12"/>
          <w:szCs w:val="21"/>
        </w:rPr>
      </w:pPr>
      <w:r>
        <w:rPr>
          <w:rFonts w:hint="eastAsia" w:asciiTheme="minorEastAsia" w:hAnsiTheme="minorEastAsia" w:eastAsiaTheme="minorEastAsia" w:cstheme="minorEastAsia"/>
          <w:color w:val="000000"/>
          <w:kern w:val="0"/>
          <w:szCs w:val="21"/>
          <w:lang w:bidi="ar"/>
        </w:rPr>
        <w:drawing>
          <wp:inline distT="0" distB="0" distL="114300" distR="114300">
            <wp:extent cx="4536440" cy="8143240"/>
            <wp:effectExtent l="0" t="0" r="6985" b="635"/>
            <wp:docPr id="836277335" name="图片 836277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277335" name="图片 836277335"/>
                    <pic:cNvPicPr>
                      <a:picLocks noChangeAspect="1"/>
                    </pic:cNvPicPr>
                  </pic:nvPicPr>
                  <pic:blipFill>
                    <a:blip r:embed="rId13"/>
                    <a:stretch>
                      <a:fillRect/>
                    </a:stretch>
                  </pic:blipFill>
                  <pic:spPr>
                    <a:xfrm>
                      <a:off x="0" y="0"/>
                      <a:ext cx="4536948" cy="8143240"/>
                    </a:xfrm>
                    <a:prstGeom prst="rect">
                      <a:avLst/>
                    </a:prstGeom>
                  </pic:spPr>
                </pic:pic>
              </a:graphicData>
            </a:graphic>
          </wp:inline>
        </w:drawing>
      </w:r>
    </w:p>
    <w:p w14:paraId="74547967">
      <w:pPr>
        <w:autoSpaceDE w:val="0"/>
        <w:autoSpaceDN w:val="0"/>
        <w:ind w:firstLine="372" w:firstLineChars="200"/>
        <w:textAlignment w:val="baseline"/>
        <w:rPr>
          <w:rFonts w:ascii="宋体" w:hAnsi="宋体" w:cs="宋体"/>
          <w:spacing w:val="-12"/>
          <w:szCs w:val="21"/>
        </w:rPr>
      </w:pPr>
    </w:p>
    <w:p w14:paraId="29081BD7">
      <w:pPr>
        <w:pStyle w:val="2"/>
      </w:pPr>
    </w:p>
    <w:p w14:paraId="224217FE">
      <w:pPr>
        <w:ind w:firstLine="538" w:firstLineChars="200"/>
        <w:outlineLvl w:val="1"/>
        <w:rPr>
          <w:b/>
          <w:bCs/>
          <w:spacing w:val="-6"/>
          <w:sz w:val="28"/>
          <w:szCs w:val="28"/>
        </w:rPr>
      </w:pPr>
      <w:bookmarkStart w:id="111" w:name="_Toc8672"/>
      <w:r>
        <w:rPr>
          <w:rFonts w:hint="eastAsia"/>
          <w:b/>
          <w:bCs/>
          <w:spacing w:val="-6"/>
          <w:sz w:val="28"/>
          <w:szCs w:val="28"/>
        </w:rPr>
        <w:t>（二）场地设施</w:t>
      </w:r>
      <w:bookmarkEnd w:id="111"/>
    </w:p>
    <w:p w14:paraId="00EFB83A">
      <w:pPr>
        <w:adjustRightInd w:val="0"/>
        <w:snapToGrid w:val="0"/>
        <w:jc w:val="center"/>
      </w:pPr>
      <w:bookmarkStart w:id="112" w:name="_Toc11558"/>
      <w:bookmarkStart w:id="113" w:name="_Toc29349"/>
    </w:p>
    <w:p w14:paraId="2A6D0AEC">
      <w:pPr>
        <w:autoSpaceDE w:val="0"/>
        <w:autoSpaceDN w:val="0"/>
        <w:ind w:firstLine="396" w:firstLineChars="200"/>
        <w:textAlignment w:val="baseline"/>
        <w:outlineLvl w:val="1"/>
        <w:rPr>
          <w:rFonts w:ascii="宋体" w:hAnsi="宋体" w:cs="宋体"/>
          <w:b/>
          <w:bCs/>
          <w:spacing w:val="-12"/>
          <w:szCs w:val="21"/>
        </w:rPr>
      </w:pPr>
      <w:bookmarkStart w:id="114" w:name="_Toc31779"/>
      <w:bookmarkStart w:id="115" w:name="_Toc20801"/>
      <w:r>
        <w:rPr>
          <w:rFonts w:hint="eastAsia" w:ascii="宋体" w:hAnsi="宋体" w:cs="宋体"/>
          <w:spacing w:val="-6"/>
          <w:szCs w:val="21"/>
        </w:rPr>
        <w:t>1.场地设施设备和材料(按每一个工位必须配备）</w:t>
      </w:r>
      <w:bookmarkEnd w:id="114"/>
      <w:bookmarkEnd w:id="115"/>
    </w:p>
    <w:p w14:paraId="2F24A125">
      <w:pPr>
        <w:autoSpaceDE w:val="0"/>
        <w:autoSpaceDN w:val="0"/>
        <w:ind w:firstLine="374" w:firstLineChars="200"/>
        <w:textAlignment w:val="baseline"/>
        <w:rPr>
          <w:rFonts w:ascii="宋体" w:hAnsi="宋体" w:cs="宋体"/>
          <w:b/>
          <w:bCs/>
          <w:spacing w:val="-12"/>
          <w:szCs w:val="21"/>
        </w:rPr>
      </w:pPr>
    </w:p>
    <w:tbl>
      <w:tblPr>
        <w:tblStyle w:val="18"/>
        <w:tblW w:w="88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9"/>
        <w:gridCol w:w="3258"/>
        <w:gridCol w:w="2520"/>
        <w:gridCol w:w="1020"/>
        <w:gridCol w:w="1235"/>
      </w:tblGrid>
      <w:tr w14:paraId="1789CD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19" w:hRule="atLeast"/>
        </w:trPr>
        <w:tc>
          <w:tcPr>
            <w:tcW w:w="799" w:type="dxa"/>
            <w:vAlign w:val="center"/>
          </w:tcPr>
          <w:p w14:paraId="7909A97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序号</w:t>
            </w:r>
          </w:p>
        </w:tc>
        <w:tc>
          <w:tcPr>
            <w:tcW w:w="3258" w:type="dxa"/>
            <w:vAlign w:val="center"/>
          </w:tcPr>
          <w:p w14:paraId="26D9F090">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设备名称</w:t>
            </w:r>
          </w:p>
        </w:tc>
        <w:tc>
          <w:tcPr>
            <w:tcW w:w="2520" w:type="dxa"/>
            <w:vAlign w:val="center"/>
          </w:tcPr>
          <w:p w14:paraId="59A17B0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型号（备注）</w:t>
            </w:r>
          </w:p>
        </w:tc>
        <w:tc>
          <w:tcPr>
            <w:tcW w:w="1020" w:type="dxa"/>
            <w:vAlign w:val="center"/>
          </w:tcPr>
          <w:p w14:paraId="2BF1A45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单位</w:t>
            </w:r>
          </w:p>
        </w:tc>
        <w:tc>
          <w:tcPr>
            <w:tcW w:w="1235" w:type="dxa"/>
            <w:vAlign w:val="center"/>
          </w:tcPr>
          <w:p w14:paraId="051E4C1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数量</w:t>
            </w:r>
          </w:p>
        </w:tc>
      </w:tr>
      <w:tr w14:paraId="0C67C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730BC037">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c>
          <w:tcPr>
            <w:tcW w:w="3258" w:type="dxa"/>
            <w:vAlign w:val="center"/>
          </w:tcPr>
          <w:p w14:paraId="35186E0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智能网联汽车竞赛平台</w:t>
            </w:r>
          </w:p>
        </w:tc>
        <w:tc>
          <w:tcPr>
            <w:tcW w:w="2520" w:type="dxa"/>
            <w:vAlign w:val="center"/>
          </w:tcPr>
          <w:p w14:paraId="4CEA09F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CAIE-I</w:t>
            </w:r>
          </w:p>
          <w:p w14:paraId="6A0FED4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CVCS竞赛平台</w:t>
            </w:r>
          </w:p>
        </w:tc>
        <w:tc>
          <w:tcPr>
            <w:tcW w:w="1020" w:type="dxa"/>
            <w:vAlign w:val="center"/>
          </w:tcPr>
          <w:p w14:paraId="25B1327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台</w:t>
            </w:r>
          </w:p>
        </w:tc>
        <w:tc>
          <w:tcPr>
            <w:tcW w:w="1235" w:type="dxa"/>
            <w:vAlign w:val="center"/>
          </w:tcPr>
          <w:p w14:paraId="4E54B3AE">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1B16DC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02D4152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2</w:t>
            </w:r>
          </w:p>
        </w:tc>
        <w:tc>
          <w:tcPr>
            <w:tcW w:w="3258" w:type="dxa"/>
            <w:vAlign w:val="center"/>
          </w:tcPr>
          <w:p w14:paraId="405418DE">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智能网联汽车仿真测试云平台</w:t>
            </w:r>
          </w:p>
        </w:tc>
        <w:tc>
          <w:tcPr>
            <w:tcW w:w="2520" w:type="dxa"/>
            <w:vAlign w:val="center"/>
          </w:tcPr>
          <w:p w14:paraId="79AC3DD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仿真电脑</w:t>
            </w:r>
          </w:p>
        </w:tc>
        <w:tc>
          <w:tcPr>
            <w:tcW w:w="1020" w:type="dxa"/>
            <w:vAlign w:val="center"/>
          </w:tcPr>
          <w:p w14:paraId="237C75E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台</w:t>
            </w:r>
          </w:p>
        </w:tc>
        <w:tc>
          <w:tcPr>
            <w:tcW w:w="1235" w:type="dxa"/>
            <w:vAlign w:val="center"/>
          </w:tcPr>
          <w:p w14:paraId="0B56D487">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2CDD7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0BDD88E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3</w:t>
            </w:r>
          </w:p>
        </w:tc>
        <w:tc>
          <w:tcPr>
            <w:tcW w:w="3258" w:type="dxa"/>
            <w:vAlign w:val="center"/>
          </w:tcPr>
          <w:p w14:paraId="7D616CF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智能网联汽车监控云平台</w:t>
            </w:r>
          </w:p>
        </w:tc>
        <w:tc>
          <w:tcPr>
            <w:tcW w:w="2520" w:type="dxa"/>
            <w:vAlign w:val="center"/>
          </w:tcPr>
          <w:p w14:paraId="34B6CB7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工位电脑</w:t>
            </w:r>
          </w:p>
        </w:tc>
        <w:tc>
          <w:tcPr>
            <w:tcW w:w="1020" w:type="dxa"/>
            <w:vAlign w:val="center"/>
          </w:tcPr>
          <w:p w14:paraId="1DCA210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台</w:t>
            </w:r>
          </w:p>
        </w:tc>
        <w:tc>
          <w:tcPr>
            <w:tcW w:w="1235" w:type="dxa"/>
            <w:vAlign w:val="center"/>
          </w:tcPr>
          <w:p w14:paraId="54F7A7A1">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11579C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2D14F527">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4</w:t>
            </w:r>
          </w:p>
        </w:tc>
        <w:tc>
          <w:tcPr>
            <w:tcW w:w="3258" w:type="dxa"/>
            <w:vAlign w:val="center"/>
          </w:tcPr>
          <w:p w14:paraId="18D4401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车联网应用平台</w:t>
            </w:r>
          </w:p>
        </w:tc>
        <w:tc>
          <w:tcPr>
            <w:tcW w:w="2520" w:type="dxa"/>
            <w:vAlign w:val="center"/>
          </w:tcPr>
          <w:p w14:paraId="6BDD4F1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车路协同侧系统</w:t>
            </w:r>
          </w:p>
        </w:tc>
        <w:tc>
          <w:tcPr>
            <w:tcW w:w="1020" w:type="dxa"/>
            <w:vAlign w:val="center"/>
          </w:tcPr>
          <w:p w14:paraId="6F32440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台</w:t>
            </w:r>
          </w:p>
        </w:tc>
        <w:tc>
          <w:tcPr>
            <w:tcW w:w="1235" w:type="dxa"/>
            <w:vAlign w:val="center"/>
          </w:tcPr>
          <w:p w14:paraId="44E65C8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1F0E86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2121211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5</w:t>
            </w:r>
          </w:p>
        </w:tc>
        <w:tc>
          <w:tcPr>
            <w:tcW w:w="3258" w:type="dxa"/>
            <w:vAlign w:val="center"/>
          </w:tcPr>
          <w:p w14:paraId="2C942371">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智能网联汽车实训平台</w:t>
            </w:r>
          </w:p>
        </w:tc>
        <w:tc>
          <w:tcPr>
            <w:tcW w:w="2520" w:type="dxa"/>
            <w:vAlign w:val="center"/>
          </w:tcPr>
          <w:p w14:paraId="637D0C6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FR-09 Pro智能网联汽车平台</w:t>
            </w:r>
          </w:p>
        </w:tc>
        <w:tc>
          <w:tcPr>
            <w:tcW w:w="1020" w:type="dxa"/>
            <w:vAlign w:val="center"/>
          </w:tcPr>
          <w:p w14:paraId="191F05B8">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台</w:t>
            </w:r>
          </w:p>
        </w:tc>
        <w:tc>
          <w:tcPr>
            <w:tcW w:w="1235" w:type="dxa"/>
            <w:vAlign w:val="center"/>
          </w:tcPr>
          <w:p w14:paraId="1F5791D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5F5CD4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38F733F8">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6</w:t>
            </w:r>
          </w:p>
        </w:tc>
        <w:tc>
          <w:tcPr>
            <w:tcW w:w="3258" w:type="dxa"/>
            <w:vAlign w:val="center"/>
          </w:tcPr>
          <w:p w14:paraId="652F597D">
            <w:pPr>
              <w:widowControl/>
              <w:autoSpaceDE w:val="0"/>
              <w:autoSpaceDN w:val="0"/>
              <w:adjustRightInd w:val="0"/>
              <w:jc w:val="center"/>
              <w:textAlignment w:val="baseline"/>
              <w:rPr>
                <w:rFonts w:ascii="宋体" w:hAnsi="宋体" w:cs="宋体"/>
                <w:szCs w:val="21"/>
              </w:rPr>
            </w:pPr>
            <w:r>
              <w:rPr>
                <w:rFonts w:ascii="宋体" w:hAnsi="宋体" w:cs="宋体"/>
                <w:szCs w:val="21"/>
              </w:rPr>
              <w:t>工具套装</w:t>
            </w:r>
          </w:p>
        </w:tc>
        <w:tc>
          <w:tcPr>
            <w:tcW w:w="2520" w:type="dxa"/>
            <w:vAlign w:val="center"/>
          </w:tcPr>
          <w:p w14:paraId="057DA45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zqzl-6</w:t>
            </w:r>
          </w:p>
        </w:tc>
        <w:tc>
          <w:tcPr>
            <w:tcW w:w="1020" w:type="dxa"/>
            <w:vAlign w:val="center"/>
          </w:tcPr>
          <w:p w14:paraId="5E68082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套</w:t>
            </w:r>
          </w:p>
        </w:tc>
        <w:tc>
          <w:tcPr>
            <w:tcW w:w="1235" w:type="dxa"/>
            <w:vAlign w:val="center"/>
          </w:tcPr>
          <w:p w14:paraId="65446B6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20EBB2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435" w:hRule="atLeast"/>
        </w:trPr>
        <w:tc>
          <w:tcPr>
            <w:tcW w:w="799" w:type="dxa"/>
            <w:vAlign w:val="center"/>
          </w:tcPr>
          <w:p w14:paraId="62A4785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7</w:t>
            </w:r>
          </w:p>
        </w:tc>
        <w:tc>
          <w:tcPr>
            <w:tcW w:w="3258" w:type="dxa"/>
            <w:vAlign w:val="center"/>
          </w:tcPr>
          <w:p w14:paraId="0DF8E94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环境感知标定综合套件-标定板</w:t>
            </w:r>
          </w:p>
        </w:tc>
        <w:tc>
          <w:tcPr>
            <w:tcW w:w="2520" w:type="dxa"/>
            <w:vAlign w:val="center"/>
          </w:tcPr>
          <w:p w14:paraId="2473B58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zqzl-4</w:t>
            </w:r>
          </w:p>
        </w:tc>
        <w:tc>
          <w:tcPr>
            <w:tcW w:w="1020" w:type="dxa"/>
            <w:vAlign w:val="center"/>
          </w:tcPr>
          <w:p w14:paraId="68AD673E">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0D7F5D43">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57989A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3374D703">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8</w:t>
            </w:r>
          </w:p>
        </w:tc>
        <w:tc>
          <w:tcPr>
            <w:tcW w:w="3258" w:type="dxa"/>
            <w:vAlign w:val="center"/>
          </w:tcPr>
          <w:p w14:paraId="52AA692E">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胎压表</w:t>
            </w:r>
          </w:p>
        </w:tc>
        <w:tc>
          <w:tcPr>
            <w:tcW w:w="2520" w:type="dxa"/>
            <w:vAlign w:val="center"/>
          </w:tcPr>
          <w:p w14:paraId="2C352B5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zqzl-5</w:t>
            </w:r>
          </w:p>
        </w:tc>
        <w:tc>
          <w:tcPr>
            <w:tcW w:w="1020" w:type="dxa"/>
            <w:vAlign w:val="center"/>
          </w:tcPr>
          <w:p w14:paraId="67AF43C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6F489F9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7C287E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7E27C47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9</w:t>
            </w:r>
          </w:p>
        </w:tc>
        <w:tc>
          <w:tcPr>
            <w:tcW w:w="3258" w:type="dxa"/>
            <w:vAlign w:val="center"/>
          </w:tcPr>
          <w:p w14:paraId="14AAC26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万用表</w:t>
            </w:r>
          </w:p>
        </w:tc>
        <w:tc>
          <w:tcPr>
            <w:tcW w:w="2520" w:type="dxa"/>
            <w:vAlign w:val="center"/>
          </w:tcPr>
          <w:p w14:paraId="7BDCF9B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zqzl-6</w:t>
            </w:r>
          </w:p>
        </w:tc>
        <w:tc>
          <w:tcPr>
            <w:tcW w:w="1020" w:type="dxa"/>
            <w:vAlign w:val="center"/>
          </w:tcPr>
          <w:p w14:paraId="5E086F9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1792332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44B39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7337F15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10</w:t>
            </w:r>
          </w:p>
        </w:tc>
        <w:tc>
          <w:tcPr>
            <w:tcW w:w="3258" w:type="dxa"/>
            <w:vAlign w:val="center"/>
          </w:tcPr>
          <w:p w14:paraId="68C85C8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螺丝刀套装</w:t>
            </w:r>
          </w:p>
        </w:tc>
        <w:tc>
          <w:tcPr>
            <w:tcW w:w="2520" w:type="dxa"/>
            <w:vAlign w:val="center"/>
          </w:tcPr>
          <w:p w14:paraId="629C011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zqzl-7</w:t>
            </w:r>
          </w:p>
        </w:tc>
        <w:tc>
          <w:tcPr>
            <w:tcW w:w="1020" w:type="dxa"/>
            <w:vAlign w:val="center"/>
          </w:tcPr>
          <w:p w14:paraId="37D5330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7C1BE8F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545D6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5C7873D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11</w:t>
            </w:r>
          </w:p>
        </w:tc>
        <w:tc>
          <w:tcPr>
            <w:tcW w:w="3258" w:type="dxa"/>
            <w:vAlign w:val="center"/>
          </w:tcPr>
          <w:p w14:paraId="4351D28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网线检测仪</w:t>
            </w:r>
          </w:p>
        </w:tc>
        <w:tc>
          <w:tcPr>
            <w:tcW w:w="2520" w:type="dxa"/>
            <w:vAlign w:val="center"/>
          </w:tcPr>
          <w:p w14:paraId="42716CF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zqzl-8</w:t>
            </w:r>
          </w:p>
        </w:tc>
        <w:tc>
          <w:tcPr>
            <w:tcW w:w="1020" w:type="dxa"/>
            <w:vAlign w:val="center"/>
          </w:tcPr>
          <w:p w14:paraId="7F2C4A14">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79D135E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62C4B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6516E0C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12</w:t>
            </w:r>
          </w:p>
        </w:tc>
        <w:tc>
          <w:tcPr>
            <w:tcW w:w="3258" w:type="dxa"/>
            <w:vAlign w:val="center"/>
          </w:tcPr>
          <w:p w14:paraId="521A2217">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卷尺</w:t>
            </w:r>
          </w:p>
        </w:tc>
        <w:tc>
          <w:tcPr>
            <w:tcW w:w="2520" w:type="dxa"/>
            <w:vAlign w:val="center"/>
          </w:tcPr>
          <w:p w14:paraId="5D66F88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zqzl-9</w:t>
            </w:r>
          </w:p>
        </w:tc>
        <w:tc>
          <w:tcPr>
            <w:tcW w:w="1020" w:type="dxa"/>
            <w:vAlign w:val="center"/>
          </w:tcPr>
          <w:p w14:paraId="6B314BE0">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4CFAF33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60CB1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4760D60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13</w:t>
            </w:r>
          </w:p>
        </w:tc>
        <w:tc>
          <w:tcPr>
            <w:tcW w:w="3258" w:type="dxa"/>
            <w:vAlign w:val="center"/>
          </w:tcPr>
          <w:p w14:paraId="69D7E094">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232 串口转 usb</w:t>
            </w:r>
          </w:p>
        </w:tc>
        <w:tc>
          <w:tcPr>
            <w:tcW w:w="2520" w:type="dxa"/>
            <w:vAlign w:val="center"/>
          </w:tcPr>
          <w:p w14:paraId="074DF26E">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zqzl-10</w:t>
            </w:r>
          </w:p>
        </w:tc>
        <w:tc>
          <w:tcPr>
            <w:tcW w:w="1020" w:type="dxa"/>
            <w:vAlign w:val="center"/>
          </w:tcPr>
          <w:p w14:paraId="03341DF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475861E7">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4049B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4206CF7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14</w:t>
            </w:r>
          </w:p>
        </w:tc>
        <w:tc>
          <w:tcPr>
            <w:tcW w:w="3258" w:type="dxa"/>
            <w:vAlign w:val="center"/>
          </w:tcPr>
          <w:p w14:paraId="2D6904D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Usb 延长线</w:t>
            </w:r>
          </w:p>
        </w:tc>
        <w:tc>
          <w:tcPr>
            <w:tcW w:w="2520" w:type="dxa"/>
            <w:vAlign w:val="center"/>
          </w:tcPr>
          <w:p w14:paraId="607885D1">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zqzl-11</w:t>
            </w:r>
          </w:p>
        </w:tc>
        <w:tc>
          <w:tcPr>
            <w:tcW w:w="1020" w:type="dxa"/>
            <w:vAlign w:val="center"/>
          </w:tcPr>
          <w:p w14:paraId="2007E9D4">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根</w:t>
            </w:r>
          </w:p>
        </w:tc>
        <w:tc>
          <w:tcPr>
            <w:tcW w:w="1235" w:type="dxa"/>
            <w:vAlign w:val="center"/>
          </w:tcPr>
          <w:p w14:paraId="62B7099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075163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4265786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15</w:t>
            </w:r>
          </w:p>
        </w:tc>
        <w:tc>
          <w:tcPr>
            <w:tcW w:w="3258" w:type="dxa"/>
            <w:vAlign w:val="center"/>
          </w:tcPr>
          <w:p w14:paraId="1FBE387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网口转网口</w:t>
            </w:r>
          </w:p>
        </w:tc>
        <w:tc>
          <w:tcPr>
            <w:tcW w:w="2520" w:type="dxa"/>
            <w:vAlign w:val="center"/>
          </w:tcPr>
          <w:p w14:paraId="75D5D56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zqzl-12</w:t>
            </w:r>
          </w:p>
        </w:tc>
        <w:tc>
          <w:tcPr>
            <w:tcW w:w="1020" w:type="dxa"/>
            <w:vAlign w:val="center"/>
          </w:tcPr>
          <w:p w14:paraId="2D699C50">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6094C38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01565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27D6F21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16</w:t>
            </w:r>
          </w:p>
        </w:tc>
        <w:tc>
          <w:tcPr>
            <w:tcW w:w="3258" w:type="dxa"/>
            <w:vAlign w:val="center"/>
          </w:tcPr>
          <w:p w14:paraId="0CBA140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无线网卡</w:t>
            </w:r>
          </w:p>
        </w:tc>
        <w:tc>
          <w:tcPr>
            <w:tcW w:w="2520" w:type="dxa"/>
            <w:vAlign w:val="center"/>
          </w:tcPr>
          <w:p w14:paraId="45DA3A54">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zqzl-13</w:t>
            </w:r>
          </w:p>
        </w:tc>
        <w:tc>
          <w:tcPr>
            <w:tcW w:w="1020" w:type="dxa"/>
            <w:vAlign w:val="center"/>
          </w:tcPr>
          <w:p w14:paraId="1FBAE53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3EB44874">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74C964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73863E1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17</w:t>
            </w:r>
          </w:p>
        </w:tc>
        <w:tc>
          <w:tcPr>
            <w:tcW w:w="3258" w:type="dxa"/>
            <w:vAlign w:val="center"/>
          </w:tcPr>
          <w:p w14:paraId="30EA1C4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显卡欺骗器</w:t>
            </w:r>
          </w:p>
        </w:tc>
        <w:tc>
          <w:tcPr>
            <w:tcW w:w="2520" w:type="dxa"/>
            <w:vAlign w:val="center"/>
          </w:tcPr>
          <w:p w14:paraId="44DAA86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zqzl-14</w:t>
            </w:r>
          </w:p>
        </w:tc>
        <w:tc>
          <w:tcPr>
            <w:tcW w:w="1020" w:type="dxa"/>
            <w:vAlign w:val="center"/>
          </w:tcPr>
          <w:p w14:paraId="5306358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47F7CA43">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7A711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2ED4BA6E">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18</w:t>
            </w:r>
          </w:p>
        </w:tc>
        <w:tc>
          <w:tcPr>
            <w:tcW w:w="3258" w:type="dxa"/>
            <w:vAlign w:val="center"/>
          </w:tcPr>
          <w:p w14:paraId="12A19AE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网线延长线</w:t>
            </w:r>
          </w:p>
        </w:tc>
        <w:tc>
          <w:tcPr>
            <w:tcW w:w="2520" w:type="dxa"/>
            <w:vAlign w:val="center"/>
          </w:tcPr>
          <w:p w14:paraId="53969FA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zqzl-15</w:t>
            </w:r>
          </w:p>
        </w:tc>
        <w:tc>
          <w:tcPr>
            <w:tcW w:w="1020" w:type="dxa"/>
            <w:vAlign w:val="center"/>
          </w:tcPr>
          <w:p w14:paraId="101BF86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根</w:t>
            </w:r>
          </w:p>
        </w:tc>
        <w:tc>
          <w:tcPr>
            <w:tcW w:w="1235" w:type="dxa"/>
            <w:vAlign w:val="center"/>
          </w:tcPr>
          <w:p w14:paraId="08CE093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4849B3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45A9542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19</w:t>
            </w:r>
          </w:p>
        </w:tc>
        <w:tc>
          <w:tcPr>
            <w:tcW w:w="3258" w:type="dxa"/>
            <w:vAlign w:val="center"/>
          </w:tcPr>
          <w:p w14:paraId="1F0B56D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故障件</w:t>
            </w:r>
          </w:p>
        </w:tc>
        <w:tc>
          <w:tcPr>
            <w:tcW w:w="2520" w:type="dxa"/>
            <w:vAlign w:val="center"/>
          </w:tcPr>
          <w:p w14:paraId="10F01C6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zqzl-16</w:t>
            </w:r>
          </w:p>
        </w:tc>
        <w:tc>
          <w:tcPr>
            <w:tcW w:w="1020" w:type="dxa"/>
            <w:vAlign w:val="center"/>
          </w:tcPr>
          <w:p w14:paraId="560A9A4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套</w:t>
            </w:r>
          </w:p>
        </w:tc>
        <w:tc>
          <w:tcPr>
            <w:tcW w:w="1235" w:type="dxa"/>
            <w:vAlign w:val="center"/>
          </w:tcPr>
          <w:p w14:paraId="5C929D8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17ED57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1B0F5AE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20</w:t>
            </w:r>
          </w:p>
        </w:tc>
        <w:tc>
          <w:tcPr>
            <w:tcW w:w="3258" w:type="dxa"/>
            <w:vAlign w:val="center"/>
          </w:tcPr>
          <w:p w14:paraId="633B66A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安全帽</w:t>
            </w:r>
          </w:p>
        </w:tc>
        <w:tc>
          <w:tcPr>
            <w:tcW w:w="2520" w:type="dxa"/>
            <w:vAlign w:val="center"/>
          </w:tcPr>
          <w:p w14:paraId="2503ECD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zqzl-17</w:t>
            </w:r>
          </w:p>
        </w:tc>
        <w:tc>
          <w:tcPr>
            <w:tcW w:w="1020" w:type="dxa"/>
            <w:vAlign w:val="center"/>
          </w:tcPr>
          <w:p w14:paraId="6C95383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328EA251">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2</w:t>
            </w:r>
          </w:p>
        </w:tc>
      </w:tr>
      <w:tr w14:paraId="3A1802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trPr>
        <w:tc>
          <w:tcPr>
            <w:tcW w:w="799" w:type="dxa"/>
            <w:vAlign w:val="center"/>
          </w:tcPr>
          <w:p w14:paraId="5C2A12A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21</w:t>
            </w:r>
          </w:p>
        </w:tc>
        <w:tc>
          <w:tcPr>
            <w:tcW w:w="3258" w:type="dxa"/>
            <w:vAlign w:val="center"/>
          </w:tcPr>
          <w:p w14:paraId="336E9CA1">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警示牌</w:t>
            </w:r>
          </w:p>
        </w:tc>
        <w:tc>
          <w:tcPr>
            <w:tcW w:w="2520" w:type="dxa"/>
            <w:vAlign w:val="center"/>
          </w:tcPr>
          <w:p w14:paraId="7BAB1DF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zqzl-18</w:t>
            </w:r>
          </w:p>
        </w:tc>
        <w:tc>
          <w:tcPr>
            <w:tcW w:w="1020" w:type="dxa"/>
            <w:vAlign w:val="center"/>
          </w:tcPr>
          <w:p w14:paraId="55758AEE">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35" w:type="dxa"/>
            <w:vAlign w:val="center"/>
          </w:tcPr>
          <w:p w14:paraId="08C4FC8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r>
      <w:tr w14:paraId="455674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1" w:hRule="atLeast"/>
        </w:trPr>
        <w:tc>
          <w:tcPr>
            <w:tcW w:w="799" w:type="dxa"/>
            <w:vAlign w:val="center"/>
          </w:tcPr>
          <w:p w14:paraId="071AB574">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22</w:t>
            </w:r>
          </w:p>
        </w:tc>
        <w:tc>
          <w:tcPr>
            <w:tcW w:w="3258" w:type="dxa"/>
            <w:vAlign w:val="center"/>
          </w:tcPr>
          <w:p w14:paraId="37B07F47">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手套</w:t>
            </w:r>
          </w:p>
        </w:tc>
        <w:tc>
          <w:tcPr>
            <w:tcW w:w="2520" w:type="dxa"/>
            <w:vAlign w:val="center"/>
          </w:tcPr>
          <w:p w14:paraId="6C573D81">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zqzl-19</w:t>
            </w:r>
          </w:p>
        </w:tc>
        <w:tc>
          <w:tcPr>
            <w:tcW w:w="1020" w:type="dxa"/>
            <w:vAlign w:val="center"/>
          </w:tcPr>
          <w:p w14:paraId="781F12C3">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双</w:t>
            </w:r>
          </w:p>
        </w:tc>
        <w:tc>
          <w:tcPr>
            <w:tcW w:w="1235" w:type="dxa"/>
            <w:vAlign w:val="center"/>
          </w:tcPr>
          <w:p w14:paraId="6349496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2</w:t>
            </w:r>
          </w:p>
        </w:tc>
      </w:tr>
    </w:tbl>
    <w:p w14:paraId="5845A014">
      <w:pPr>
        <w:widowControl/>
        <w:autoSpaceDE w:val="0"/>
        <w:autoSpaceDN w:val="0"/>
        <w:adjustRightInd w:val="0"/>
        <w:textAlignment w:val="baseline"/>
        <w:rPr>
          <w:rFonts w:ascii="宋体" w:hAnsi="宋体" w:cs="宋体"/>
          <w:szCs w:val="21"/>
        </w:rPr>
      </w:pPr>
    </w:p>
    <w:p w14:paraId="595A9FFF">
      <w:pPr>
        <w:autoSpaceDE w:val="0"/>
        <w:autoSpaceDN w:val="0"/>
        <w:ind w:firstLine="396" w:firstLineChars="200"/>
        <w:textAlignment w:val="baseline"/>
        <w:outlineLvl w:val="1"/>
        <w:rPr>
          <w:rFonts w:ascii="宋体" w:hAnsi="宋体" w:cs="宋体"/>
          <w:szCs w:val="21"/>
        </w:rPr>
      </w:pPr>
      <w:bookmarkStart w:id="116" w:name="_Toc21536"/>
      <w:bookmarkStart w:id="117" w:name="_Toc22366"/>
      <w:r>
        <w:rPr>
          <w:rFonts w:hint="eastAsia" w:ascii="宋体" w:hAnsi="宋体" w:cs="宋体"/>
          <w:spacing w:val="-6"/>
          <w:szCs w:val="21"/>
        </w:rPr>
        <w:t>2.裁判使用设备和工具</w:t>
      </w:r>
      <w:bookmarkEnd w:id="116"/>
      <w:bookmarkEnd w:id="117"/>
    </w:p>
    <w:tbl>
      <w:tblPr>
        <w:tblStyle w:val="18"/>
        <w:tblW w:w="88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9"/>
        <w:gridCol w:w="2889"/>
        <w:gridCol w:w="2889"/>
        <w:gridCol w:w="1020"/>
        <w:gridCol w:w="1248"/>
      </w:tblGrid>
      <w:tr w14:paraId="6E2B1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3" w:hRule="atLeast"/>
        </w:trPr>
        <w:tc>
          <w:tcPr>
            <w:tcW w:w="799" w:type="dxa"/>
            <w:vAlign w:val="center"/>
          </w:tcPr>
          <w:p w14:paraId="7F927290">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序号</w:t>
            </w:r>
          </w:p>
        </w:tc>
        <w:tc>
          <w:tcPr>
            <w:tcW w:w="2889" w:type="dxa"/>
            <w:vAlign w:val="center"/>
          </w:tcPr>
          <w:p w14:paraId="60324B4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设备名称</w:t>
            </w:r>
          </w:p>
        </w:tc>
        <w:tc>
          <w:tcPr>
            <w:tcW w:w="2889" w:type="dxa"/>
            <w:vAlign w:val="center"/>
          </w:tcPr>
          <w:p w14:paraId="60A44550">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型号（备注）</w:t>
            </w:r>
          </w:p>
        </w:tc>
        <w:tc>
          <w:tcPr>
            <w:tcW w:w="1020" w:type="dxa"/>
            <w:vAlign w:val="center"/>
          </w:tcPr>
          <w:p w14:paraId="62E6807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单位</w:t>
            </w:r>
          </w:p>
        </w:tc>
        <w:tc>
          <w:tcPr>
            <w:tcW w:w="1248" w:type="dxa"/>
            <w:vAlign w:val="center"/>
          </w:tcPr>
          <w:p w14:paraId="480E061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数量</w:t>
            </w:r>
          </w:p>
        </w:tc>
      </w:tr>
      <w:tr w14:paraId="332C1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1B6A5D75">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w:t>
            </w:r>
          </w:p>
        </w:tc>
        <w:tc>
          <w:tcPr>
            <w:tcW w:w="2889" w:type="dxa"/>
            <w:vAlign w:val="center"/>
          </w:tcPr>
          <w:p w14:paraId="3587F68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夹板</w:t>
            </w:r>
          </w:p>
        </w:tc>
        <w:tc>
          <w:tcPr>
            <w:tcW w:w="2889" w:type="dxa"/>
            <w:vAlign w:val="center"/>
          </w:tcPr>
          <w:p w14:paraId="0C5D1B1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Lz-1</w:t>
            </w:r>
          </w:p>
        </w:tc>
        <w:tc>
          <w:tcPr>
            <w:tcW w:w="1020" w:type="dxa"/>
            <w:vAlign w:val="center"/>
          </w:tcPr>
          <w:p w14:paraId="28282FAA">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48" w:type="dxa"/>
            <w:vAlign w:val="center"/>
          </w:tcPr>
          <w:p w14:paraId="7CF22F2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10</w:t>
            </w:r>
          </w:p>
        </w:tc>
      </w:tr>
      <w:tr w14:paraId="7BB0E8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536DFC98">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2</w:t>
            </w:r>
          </w:p>
        </w:tc>
        <w:tc>
          <w:tcPr>
            <w:tcW w:w="2889" w:type="dxa"/>
            <w:vAlign w:val="center"/>
          </w:tcPr>
          <w:p w14:paraId="2DED10B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签字笔</w:t>
            </w:r>
          </w:p>
        </w:tc>
        <w:tc>
          <w:tcPr>
            <w:tcW w:w="2889" w:type="dxa"/>
            <w:vAlign w:val="center"/>
          </w:tcPr>
          <w:p w14:paraId="75997680">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Lz-2</w:t>
            </w:r>
          </w:p>
        </w:tc>
        <w:tc>
          <w:tcPr>
            <w:tcW w:w="1020" w:type="dxa"/>
            <w:vAlign w:val="center"/>
          </w:tcPr>
          <w:p w14:paraId="2AB9CFC7">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支</w:t>
            </w:r>
          </w:p>
        </w:tc>
        <w:tc>
          <w:tcPr>
            <w:tcW w:w="1248" w:type="dxa"/>
            <w:vAlign w:val="center"/>
          </w:tcPr>
          <w:p w14:paraId="16BC236D">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10</w:t>
            </w:r>
          </w:p>
        </w:tc>
      </w:tr>
      <w:tr w14:paraId="5A7EC8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1126516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3</w:t>
            </w:r>
          </w:p>
        </w:tc>
        <w:tc>
          <w:tcPr>
            <w:tcW w:w="2889" w:type="dxa"/>
            <w:vAlign w:val="center"/>
          </w:tcPr>
          <w:p w14:paraId="05F4DAB7">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秒表</w:t>
            </w:r>
          </w:p>
        </w:tc>
        <w:tc>
          <w:tcPr>
            <w:tcW w:w="2889" w:type="dxa"/>
            <w:vAlign w:val="center"/>
          </w:tcPr>
          <w:p w14:paraId="62F85CB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Lz-3</w:t>
            </w:r>
          </w:p>
        </w:tc>
        <w:tc>
          <w:tcPr>
            <w:tcW w:w="1020" w:type="dxa"/>
            <w:vAlign w:val="center"/>
          </w:tcPr>
          <w:p w14:paraId="18AF30F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48" w:type="dxa"/>
            <w:vAlign w:val="center"/>
          </w:tcPr>
          <w:p w14:paraId="1B09DC32">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8</w:t>
            </w:r>
          </w:p>
        </w:tc>
      </w:tr>
      <w:tr w14:paraId="659301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8" w:hRule="atLeast"/>
        </w:trPr>
        <w:tc>
          <w:tcPr>
            <w:tcW w:w="799" w:type="dxa"/>
            <w:vAlign w:val="center"/>
          </w:tcPr>
          <w:p w14:paraId="52203080">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4</w:t>
            </w:r>
          </w:p>
        </w:tc>
        <w:tc>
          <w:tcPr>
            <w:tcW w:w="2889" w:type="dxa"/>
            <w:vAlign w:val="center"/>
          </w:tcPr>
          <w:p w14:paraId="75E753C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铅笔及橡皮</w:t>
            </w:r>
          </w:p>
        </w:tc>
        <w:tc>
          <w:tcPr>
            <w:tcW w:w="2889" w:type="dxa"/>
            <w:vAlign w:val="center"/>
          </w:tcPr>
          <w:p w14:paraId="6C9AD841">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普通</w:t>
            </w:r>
          </w:p>
        </w:tc>
        <w:tc>
          <w:tcPr>
            <w:tcW w:w="1020" w:type="dxa"/>
            <w:vAlign w:val="center"/>
          </w:tcPr>
          <w:p w14:paraId="4306D6B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个</w:t>
            </w:r>
          </w:p>
        </w:tc>
        <w:tc>
          <w:tcPr>
            <w:tcW w:w="1248" w:type="dxa"/>
            <w:vAlign w:val="center"/>
          </w:tcPr>
          <w:p w14:paraId="09B947B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10</w:t>
            </w:r>
          </w:p>
        </w:tc>
      </w:tr>
      <w:tr w14:paraId="675894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9" w:hRule="atLeast"/>
        </w:trPr>
        <w:tc>
          <w:tcPr>
            <w:tcW w:w="799" w:type="dxa"/>
            <w:vAlign w:val="center"/>
          </w:tcPr>
          <w:p w14:paraId="56CA2B3C">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5</w:t>
            </w:r>
          </w:p>
        </w:tc>
        <w:tc>
          <w:tcPr>
            <w:tcW w:w="2889" w:type="dxa"/>
            <w:vAlign w:val="center"/>
          </w:tcPr>
          <w:p w14:paraId="5C3811BB">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打印纸</w:t>
            </w:r>
          </w:p>
        </w:tc>
        <w:tc>
          <w:tcPr>
            <w:tcW w:w="2889" w:type="dxa"/>
            <w:vAlign w:val="center"/>
          </w:tcPr>
          <w:p w14:paraId="6263B77E">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普通</w:t>
            </w:r>
          </w:p>
        </w:tc>
        <w:tc>
          <w:tcPr>
            <w:tcW w:w="1020" w:type="dxa"/>
            <w:vAlign w:val="center"/>
          </w:tcPr>
          <w:p w14:paraId="1DC04E66">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包</w:t>
            </w:r>
          </w:p>
        </w:tc>
        <w:tc>
          <w:tcPr>
            <w:tcW w:w="1248" w:type="dxa"/>
            <w:vAlign w:val="center"/>
          </w:tcPr>
          <w:p w14:paraId="3A3B5A2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2</w:t>
            </w:r>
          </w:p>
        </w:tc>
      </w:tr>
      <w:tr w14:paraId="580FE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32" w:hRule="atLeast"/>
        </w:trPr>
        <w:tc>
          <w:tcPr>
            <w:tcW w:w="799" w:type="dxa"/>
            <w:vAlign w:val="center"/>
          </w:tcPr>
          <w:p w14:paraId="1FA4D4E4">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6</w:t>
            </w:r>
          </w:p>
        </w:tc>
        <w:tc>
          <w:tcPr>
            <w:tcW w:w="2889" w:type="dxa"/>
            <w:vAlign w:val="center"/>
          </w:tcPr>
          <w:p w14:paraId="109E0553">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哨子、秒表、电脑及打印机</w:t>
            </w:r>
          </w:p>
        </w:tc>
        <w:tc>
          <w:tcPr>
            <w:tcW w:w="2889" w:type="dxa"/>
            <w:vAlign w:val="center"/>
          </w:tcPr>
          <w:p w14:paraId="2BADCCA9">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普通</w:t>
            </w:r>
          </w:p>
        </w:tc>
        <w:tc>
          <w:tcPr>
            <w:tcW w:w="1020" w:type="dxa"/>
            <w:vAlign w:val="center"/>
          </w:tcPr>
          <w:p w14:paraId="2750950F">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 xml:space="preserve">各 1 </w:t>
            </w:r>
          </w:p>
        </w:tc>
        <w:tc>
          <w:tcPr>
            <w:tcW w:w="1248" w:type="dxa"/>
            <w:vAlign w:val="center"/>
          </w:tcPr>
          <w:p w14:paraId="6790330E">
            <w:pPr>
              <w:widowControl/>
              <w:autoSpaceDE w:val="0"/>
              <w:autoSpaceDN w:val="0"/>
              <w:adjustRightInd w:val="0"/>
              <w:jc w:val="center"/>
              <w:textAlignment w:val="baseline"/>
              <w:rPr>
                <w:rFonts w:hint="eastAsia" w:ascii="宋体" w:hAnsi="宋体" w:cs="宋体"/>
                <w:szCs w:val="21"/>
              </w:rPr>
            </w:pPr>
            <w:r>
              <w:rPr>
                <w:rFonts w:hint="eastAsia" w:ascii="宋体" w:hAnsi="宋体" w:cs="宋体"/>
                <w:szCs w:val="21"/>
              </w:rPr>
              <w:t>裁判长用</w:t>
            </w:r>
          </w:p>
        </w:tc>
      </w:tr>
    </w:tbl>
    <w:p w14:paraId="47628DAE">
      <w:pPr>
        <w:widowControl/>
        <w:autoSpaceDE w:val="0"/>
        <w:autoSpaceDN w:val="0"/>
        <w:adjustRightInd w:val="0"/>
        <w:textAlignment w:val="baseline"/>
        <w:rPr>
          <w:rFonts w:ascii="宋体" w:hAnsi="宋体" w:cs="宋体"/>
          <w:szCs w:val="21"/>
        </w:rPr>
      </w:pPr>
    </w:p>
    <w:p w14:paraId="3F3CA54F">
      <w:pPr>
        <w:autoSpaceDE w:val="0"/>
        <w:autoSpaceDN w:val="0"/>
        <w:ind w:firstLine="396" w:firstLineChars="200"/>
        <w:textAlignment w:val="baseline"/>
        <w:outlineLvl w:val="1"/>
        <w:rPr>
          <w:rFonts w:ascii="宋体" w:hAnsi="宋体" w:cs="宋体"/>
          <w:spacing w:val="-12"/>
          <w:szCs w:val="21"/>
        </w:rPr>
      </w:pPr>
      <w:bookmarkStart w:id="118" w:name="_Toc4078"/>
      <w:bookmarkStart w:id="119" w:name="_Toc12152"/>
      <w:r>
        <w:rPr>
          <w:rFonts w:hint="eastAsia" w:ascii="宋体" w:hAnsi="宋体" w:cs="宋体"/>
          <w:spacing w:val="-6"/>
          <w:szCs w:val="21"/>
        </w:rPr>
        <w:t>3.选手自备的设备和工具</w:t>
      </w:r>
      <w:bookmarkEnd w:id="118"/>
      <w:bookmarkEnd w:id="119"/>
    </w:p>
    <w:p w14:paraId="1A27BC8B">
      <w:pPr>
        <w:autoSpaceDE w:val="0"/>
        <w:autoSpaceDN w:val="0"/>
        <w:ind w:firstLine="744" w:firstLineChars="400"/>
        <w:textAlignment w:val="baseline"/>
        <w:rPr>
          <w:rFonts w:ascii="宋体" w:hAnsi="宋体" w:cs="宋体"/>
          <w:spacing w:val="-12"/>
          <w:szCs w:val="21"/>
        </w:rPr>
      </w:pPr>
      <w:r>
        <w:rPr>
          <w:rFonts w:hint="eastAsia" w:ascii="宋体" w:hAnsi="宋体" w:cs="宋体"/>
          <w:spacing w:val="-12"/>
          <w:szCs w:val="21"/>
        </w:rPr>
        <w:t>选手自备并穿戴安全劳动鞋，赛场不负责提供，自买意外个人伤害险。</w:t>
      </w:r>
    </w:p>
    <w:p w14:paraId="667106FF">
      <w:pPr>
        <w:autoSpaceDE w:val="0"/>
        <w:autoSpaceDN w:val="0"/>
        <w:ind w:firstLine="396" w:firstLineChars="200"/>
        <w:textAlignment w:val="baseline"/>
        <w:outlineLvl w:val="1"/>
        <w:rPr>
          <w:rFonts w:ascii="宋体" w:hAnsi="宋体" w:cs="宋体"/>
          <w:spacing w:val="-12"/>
          <w:szCs w:val="21"/>
        </w:rPr>
      </w:pPr>
      <w:bookmarkStart w:id="120" w:name="bookmark74"/>
      <w:bookmarkEnd w:id="120"/>
      <w:bookmarkStart w:id="121" w:name="bookmark73"/>
      <w:bookmarkEnd w:id="121"/>
      <w:bookmarkStart w:id="122" w:name="_Toc4468"/>
      <w:bookmarkStart w:id="123" w:name="_Toc24550"/>
      <w:bookmarkStart w:id="124" w:name="_Toc12875"/>
      <w:r>
        <w:rPr>
          <w:rFonts w:hint="eastAsia" w:ascii="宋体" w:hAnsi="宋体" w:cs="宋体"/>
          <w:spacing w:val="-6"/>
          <w:szCs w:val="21"/>
        </w:rPr>
        <w:t>4.禁止自带使用的设备、工具和材料</w:t>
      </w:r>
      <w:bookmarkEnd w:id="122"/>
      <w:bookmarkEnd w:id="123"/>
      <w:bookmarkEnd w:id="124"/>
    </w:p>
    <w:p w14:paraId="68E4B087">
      <w:pPr>
        <w:autoSpaceDE w:val="0"/>
        <w:autoSpaceDN w:val="0"/>
        <w:ind w:firstLine="744" w:firstLineChars="400"/>
        <w:textAlignment w:val="baseline"/>
        <w:rPr>
          <w:rFonts w:ascii="宋体" w:hAnsi="宋体" w:cs="宋体"/>
          <w:spacing w:val="-12"/>
          <w:szCs w:val="21"/>
        </w:rPr>
      </w:pPr>
      <w:bookmarkStart w:id="125" w:name="bookmark76"/>
      <w:bookmarkEnd w:id="125"/>
      <w:r>
        <w:rPr>
          <w:rFonts w:hint="eastAsia" w:ascii="宋体" w:hAnsi="宋体" w:cs="宋体"/>
          <w:spacing w:val="-12"/>
          <w:szCs w:val="21"/>
        </w:rPr>
        <w:t>参赛选手不得携带任何工具与耗材类设施、易燃易爆物品，见表 6 所示。</w:t>
      </w:r>
    </w:p>
    <w:p w14:paraId="7A5D8F42">
      <w:pPr>
        <w:autoSpaceDE w:val="0"/>
        <w:autoSpaceDN w:val="0"/>
        <w:ind w:firstLine="744" w:firstLineChars="400"/>
        <w:textAlignment w:val="baseline"/>
        <w:rPr>
          <w:rFonts w:ascii="宋体" w:hAnsi="宋体" w:cs="宋体"/>
          <w:spacing w:val="-12"/>
          <w:szCs w:val="21"/>
        </w:rPr>
      </w:pPr>
    </w:p>
    <w:p w14:paraId="02281850">
      <w:pPr>
        <w:widowControl/>
        <w:autoSpaceDE w:val="0"/>
        <w:autoSpaceDN w:val="0"/>
        <w:adjustRightInd w:val="0"/>
        <w:jc w:val="center"/>
        <w:textAlignment w:val="baseline"/>
        <w:rPr>
          <w:rFonts w:ascii="宋体" w:hAnsi="宋体" w:cs="宋体"/>
          <w:szCs w:val="21"/>
        </w:rPr>
      </w:pPr>
      <w:r>
        <w:rPr>
          <w:rFonts w:hint="eastAsia" w:ascii="宋体" w:hAnsi="宋体" w:cs="宋体"/>
          <w:szCs w:val="21"/>
        </w:rPr>
        <w:t>表 6 选手禁带的物品</w:t>
      </w:r>
    </w:p>
    <w:p w14:paraId="150CD1A9">
      <w:pPr>
        <w:widowControl/>
        <w:autoSpaceDE w:val="0"/>
        <w:autoSpaceDN w:val="0"/>
        <w:adjustRightInd w:val="0"/>
        <w:jc w:val="center"/>
        <w:textAlignment w:val="baseline"/>
        <w:rPr>
          <w:rFonts w:ascii="宋体" w:hAnsi="宋体" w:cs="宋体"/>
          <w:szCs w:val="21"/>
        </w:rPr>
      </w:pP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1"/>
        <w:gridCol w:w="1472"/>
        <w:gridCol w:w="1473"/>
        <w:gridCol w:w="2467"/>
      </w:tblGrid>
      <w:tr w14:paraId="42CD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11" w:type="dxa"/>
            <w:vAlign w:val="center"/>
          </w:tcPr>
          <w:p w14:paraId="53D44280">
            <w:pPr>
              <w:widowControl/>
              <w:autoSpaceDE w:val="0"/>
              <w:autoSpaceDN w:val="0"/>
              <w:adjustRightInd w:val="0"/>
              <w:jc w:val="center"/>
              <w:textAlignment w:val="baseline"/>
              <w:rPr>
                <w:rFonts w:ascii="宋体" w:hAnsi="宋体" w:cs="宋体"/>
                <w:b/>
                <w:szCs w:val="21"/>
              </w:rPr>
            </w:pPr>
            <w:r>
              <w:rPr>
                <w:rFonts w:ascii="宋体" w:hAnsi="宋体" w:cs="宋体"/>
                <w:b/>
                <w:szCs w:val="21"/>
              </w:rPr>
              <w:t>有害物品</w:t>
            </w:r>
          </w:p>
        </w:tc>
        <w:tc>
          <w:tcPr>
            <w:tcW w:w="2945" w:type="dxa"/>
            <w:gridSpan w:val="2"/>
            <w:vAlign w:val="center"/>
          </w:tcPr>
          <w:p w14:paraId="54E8D629">
            <w:pPr>
              <w:widowControl/>
              <w:autoSpaceDE w:val="0"/>
              <w:autoSpaceDN w:val="0"/>
              <w:adjustRightInd w:val="0"/>
              <w:jc w:val="center"/>
              <w:textAlignment w:val="baseline"/>
              <w:rPr>
                <w:rFonts w:ascii="宋体" w:hAnsi="宋体" w:cs="宋体"/>
                <w:b/>
                <w:szCs w:val="21"/>
              </w:rPr>
            </w:pPr>
            <w:r>
              <w:rPr>
                <w:rFonts w:ascii="宋体" w:hAnsi="宋体" w:cs="宋体"/>
                <w:b/>
                <w:szCs w:val="21"/>
              </w:rPr>
              <w:t>图示</w:t>
            </w:r>
          </w:p>
        </w:tc>
        <w:tc>
          <w:tcPr>
            <w:tcW w:w="2467" w:type="dxa"/>
            <w:vAlign w:val="center"/>
          </w:tcPr>
          <w:p w14:paraId="74A45D8F">
            <w:pPr>
              <w:widowControl/>
              <w:autoSpaceDE w:val="0"/>
              <w:autoSpaceDN w:val="0"/>
              <w:adjustRightInd w:val="0"/>
              <w:jc w:val="center"/>
              <w:textAlignment w:val="baseline"/>
              <w:rPr>
                <w:rFonts w:ascii="宋体" w:hAnsi="宋体" w:cs="宋体"/>
                <w:b/>
                <w:szCs w:val="21"/>
              </w:rPr>
            </w:pPr>
            <w:r>
              <w:rPr>
                <w:rFonts w:ascii="宋体" w:hAnsi="宋体" w:cs="宋体"/>
                <w:b/>
                <w:szCs w:val="21"/>
              </w:rPr>
              <w:t>说明</w:t>
            </w:r>
          </w:p>
        </w:tc>
      </w:tr>
      <w:tr w14:paraId="0FDC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3011" w:type="dxa"/>
            <w:vAlign w:val="center"/>
          </w:tcPr>
          <w:p w14:paraId="1B19D721">
            <w:pPr>
              <w:widowControl/>
              <w:autoSpaceDE w:val="0"/>
              <w:autoSpaceDN w:val="0"/>
              <w:adjustRightInd w:val="0"/>
              <w:jc w:val="center"/>
              <w:textAlignment w:val="baseline"/>
              <w:rPr>
                <w:rFonts w:ascii="宋体" w:hAnsi="宋体" w:cs="宋体"/>
                <w:szCs w:val="21"/>
              </w:rPr>
            </w:pPr>
            <w:r>
              <w:rPr>
                <w:rFonts w:ascii="宋体" w:hAnsi="宋体" w:cs="宋体"/>
                <w:szCs w:val="21"/>
              </w:rPr>
              <w:t>防锈清洗剂</w:t>
            </w:r>
          </w:p>
        </w:tc>
        <w:tc>
          <w:tcPr>
            <w:tcW w:w="2945" w:type="dxa"/>
            <w:gridSpan w:val="2"/>
            <w:vAlign w:val="center"/>
          </w:tcPr>
          <w:p w14:paraId="28850C0C">
            <w:pPr>
              <w:widowControl/>
              <w:autoSpaceDE w:val="0"/>
              <w:autoSpaceDN w:val="0"/>
              <w:adjustRightInd w:val="0"/>
              <w:jc w:val="center"/>
              <w:textAlignment w:val="baseline"/>
              <w:rPr>
                <w:rFonts w:ascii="宋体" w:hAnsi="宋体" w:cs="宋体"/>
                <w:szCs w:val="21"/>
              </w:rPr>
            </w:pPr>
            <w:r>
              <w:rPr>
                <w:rFonts w:ascii="宋体" w:hAnsi="宋体" w:cs="宋体"/>
                <w:szCs w:val="21"/>
              </w:rPr>
              <w:drawing>
                <wp:anchor distT="0" distB="0" distL="114300" distR="114300" simplePos="0" relativeHeight="251659264" behindDoc="0" locked="0" layoutInCell="1" allowOverlap="1">
                  <wp:simplePos x="0" y="0"/>
                  <wp:positionH relativeFrom="column">
                    <wp:posOffset>617220</wp:posOffset>
                  </wp:positionH>
                  <wp:positionV relativeFrom="paragraph">
                    <wp:posOffset>-243840</wp:posOffset>
                  </wp:positionV>
                  <wp:extent cx="482600" cy="482600"/>
                  <wp:effectExtent l="0" t="0" r="12700" b="12700"/>
                  <wp:wrapSquare wrapText="bothSides"/>
                  <wp:docPr id="13" name="图片 674" descr="W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74" descr="WD"/>
                          <pic:cNvPicPr>
                            <a:picLocks noChangeAspect="1"/>
                          </pic:cNvPicPr>
                        </pic:nvPicPr>
                        <pic:blipFill>
                          <a:blip r:embed="rId14"/>
                          <a:stretch>
                            <a:fillRect/>
                          </a:stretch>
                        </pic:blipFill>
                        <pic:spPr>
                          <a:xfrm>
                            <a:off x="0" y="0"/>
                            <a:ext cx="482600" cy="482600"/>
                          </a:xfrm>
                          <a:prstGeom prst="rect">
                            <a:avLst/>
                          </a:prstGeom>
                          <a:noFill/>
                          <a:ln>
                            <a:noFill/>
                          </a:ln>
                        </pic:spPr>
                      </pic:pic>
                    </a:graphicData>
                  </a:graphic>
                </wp:anchor>
              </w:drawing>
            </w:r>
          </w:p>
        </w:tc>
        <w:tc>
          <w:tcPr>
            <w:tcW w:w="2467" w:type="dxa"/>
            <w:vAlign w:val="center"/>
          </w:tcPr>
          <w:p w14:paraId="20AF661F">
            <w:pPr>
              <w:widowControl/>
              <w:autoSpaceDE w:val="0"/>
              <w:autoSpaceDN w:val="0"/>
              <w:adjustRightInd w:val="0"/>
              <w:jc w:val="center"/>
              <w:textAlignment w:val="baseline"/>
              <w:rPr>
                <w:rFonts w:ascii="宋体" w:hAnsi="宋体" w:cs="宋体"/>
                <w:szCs w:val="21"/>
              </w:rPr>
            </w:pPr>
            <w:r>
              <w:rPr>
                <w:rFonts w:ascii="宋体" w:hAnsi="宋体" w:cs="宋体"/>
                <w:szCs w:val="21"/>
              </w:rPr>
              <w:drawing>
                <wp:anchor distT="0" distB="0" distL="114300" distR="114300" simplePos="0" relativeHeight="251666432" behindDoc="0" locked="0" layoutInCell="1" allowOverlap="1">
                  <wp:simplePos x="0" y="0"/>
                  <wp:positionH relativeFrom="column">
                    <wp:posOffset>1079500</wp:posOffset>
                  </wp:positionH>
                  <wp:positionV relativeFrom="paragraph">
                    <wp:posOffset>18415</wp:posOffset>
                  </wp:positionV>
                  <wp:extent cx="371475" cy="350520"/>
                  <wp:effectExtent l="0" t="0" r="9525" b="11430"/>
                  <wp:wrapSquare wrapText="bothSides"/>
                  <wp:docPr id="554175918" name="图片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175918" name="图片 673"/>
                          <pic:cNvPicPr>
                            <a:picLocks noChangeAspect="1"/>
                          </pic:cNvPicPr>
                        </pic:nvPicPr>
                        <pic:blipFill>
                          <a:blip r:embed="rId15"/>
                          <a:stretch>
                            <a:fillRect/>
                          </a:stretch>
                        </pic:blipFill>
                        <pic:spPr>
                          <a:xfrm>
                            <a:off x="0" y="0"/>
                            <a:ext cx="371475" cy="350520"/>
                          </a:xfrm>
                          <a:prstGeom prst="rect">
                            <a:avLst/>
                          </a:prstGeom>
                          <a:noFill/>
                          <a:ln>
                            <a:noFill/>
                          </a:ln>
                        </pic:spPr>
                      </pic:pic>
                    </a:graphicData>
                  </a:graphic>
                </wp:anchor>
              </w:drawing>
            </w:r>
            <w:r>
              <w:rPr>
                <w:rFonts w:ascii="宋体" w:hAnsi="宋体" w:cs="宋体"/>
                <w:szCs w:val="21"/>
              </w:rPr>
              <w:t>禁止携带</w:t>
            </w:r>
          </w:p>
        </w:tc>
      </w:tr>
      <w:tr w14:paraId="1FA3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3011" w:type="dxa"/>
            <w:vAlign w:val="center"/>
          </w:tcPr>
          <w:p w14:paraId="63E99168">
            <w:pPr>
              <w:widowControl/>
              <w:autoSpaceDE w:val="0"/>
              <w:autoSpaceDN w:val="0"/>
              <w:adjustRightInd w:val="0"/>
              <w:jc w:val="center"/>
              <w:textAlignment w:val="baseline"/>
              <w:rPr>
                <w:rFonts w:ascii="宋体" w:hAnsi="宋体" w:cs="宋体"/>
                <w:szCs w:val="21"/>
              </w:rPr>
            </w:pPr>
            <w:r>
              <w:rPr>
                <w:rFonts w:ascii="宋体" w:hAnsi="宋体" w:cs="宋体"/>
                <w:szCs w:val="21"/>
              </w:rPr>
              <w:t>酒精、汽油</w:t>
            </w:r>
          </w:p>
        </w:tc>
        <w:tc>
          <w:tcPr>
            <w:tcW w:w="1472" w:type="dxa"/>
            <w:vAlign w:val="center"/>
          </w:tcPr>
          <w:p w14:paraId="5A36363A">
            <w:pPr>
              <w:widowControl/>
              <w:autoSpaceDE w:val="0"/>
              <w:autoSpaceDN w:val="0"/>
              <w:adjustRightInd w:val="0"/>
              <w:jc w:val="center"/>
              <w:textAlignment w:val="baseline"/>
              <w:rPr>
                <w:rFonts w:ascii="宋体" w:hAnsi="宋体" w:cs="宋体"/>
                <w:szCs w:val="21"/>
              </w:rPr>
            </w:pPr>
            <w:r>
              <w:rPr>
                <w:rFonts w:ascii="宋体" w:hAnsi="宋体" w:cs="宋体"/>
                <w:szCs w:val="21"/>
              </w:rPr>
              <w:drawing>
                <wp:anchor distT="0" distB="0" distL="114300" distR="114300" simplePos="0" relativeHeight="251662336" behindDoc="0" locked="0" layoutInCell="1" allowOverlap="1">
                  <wp:simplePos x="0" y="0"/>
                  <wp:positionH relativeFrom="column">
                    <wp:posOffset>187325</wp:posOffset>
                  </wp:positionH>
                  <wp:positionV relativeFrom="paragraph">
                    <wp:posOffset>-635</wp:posOffset>
                  </wp:positionV>
                  <wp:extent cx="459740" cy="459740"/>
                  <wp:effectExtent l="0" t="0" r="16510" b="16510"/>
                  <wp:wrapNone/>
                  <wp:docPr id="1097257320" name="图片 672" descr="酒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257320" name="图片 672" descr="酒精"/>
                          <pic:cNvPicPr>
                            <a:picLocks noChangeAspect="1"/>
                          </pic:cNvPicPr>
                        </pic:nvPicPr>
                        <pic:blipFill>
                          <a:blip r:embed="rId16"/>
                          <a:stretch>
                            <a:fillRect/>
                          </a:stretch>
                        </pic:blipFill>
                        <pic:spPr>
                          <a:xfrm>
                            <a:off x="0" y="0"/>
                            <a:ext cx="459740" cy="459740"/>
                          </a:xfrm>
                          <a:prstGeom prst="rect">
                            <a:avLst/>
                          </a:prstGeom>
                          <a:noFill/>
                          <a:ln>
                            <a:noFill/>
                          </a:ln>
                        </pic:spPr>
                      </pic:pic>
                    </a:graphicData>
                  </a:graphic>
                </wp:anchor>
              </w:drawing>
            </w:r>
          </w:p>
        </w:tc>
        <w:tc>
          <w:tcPr>
            <w:tcW w:w="1473" w:type="dxa"/>
            <w:vAlign w:val="center"/>
          </w:tcPr>
          <w:p w14:paraId="0710E526">
            <w:pPr>
              <w:widowControl/>
              <w:autoSpaceDE w:val="0"/>
              <w:autoSpaceDN w:val="0"/>
              <w:adjustRightInd w:val="0"/>
              <w:jc w:val="center"/>
              <w:textAlignment w:val="baseline"/>
              <w:rPr>
                <w:rFonts w:ascii="宋体" w:hAnsi="宋体" w:cs="宋体"/>
                <w:szCs w:val="21"/>
              </w:rPr>
            </w:pPr>
            <w:r>
              <w:rPr>
                <w:rFonts w:ascii="宋体" w:hAnsi="宋体" w:cs="宋体"/>
                <w:szCs w:val="21"/>
              </w:rPr>
              <w:drawing>
                <wp:anchor distT="0" distB="0" distL="114300" distR="114300" simplePos="0" relativeHeight="251664384" behindDoc="0" locked="0" layoutInCell="1" allowOverlap="1">
                  <wp:simplePos x="0" y="0"/>
                  <wp:positionH relativeFrom="column">
                    <wp:posOffset>127635</wp:posOffset>
                  </wp:positionH>
                  <wp:positionV relativeFrom="paragraph">
                    <wp:posOffset>20955</wp:posOffset>
                  </wp:positionV>
                  <wp:extent cx="499745" cy="446405"/>
                  <wp:effectExtent l="0" t="0" r="14605" b="10795"/>
                  <wp:wrapNone/>
                  <wp:docPr id="6" name="图片 19" descr="汽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descr="汽油"/>
                          <pic:cNvPicPr>
                            <a:picLocks noChangeAspect="1"/>
                          </pic:cNvPicPr>
                        </pic:nvPicPr>
                        <pic:blipFill>
                          <a:blip r:embed="rId17"/>
                          <a:stretch>
                            <a:fillRect/>
                          </a:stretch>
                        </pic:blipFill>
                        <pic:spPr>
                          <a:xfrm>
                            <a:off x="0" y="0"/>
                            <a:ext cx="499745" cy="446405"/>
                          </a:xfrm>
                          <a:prstGeom prst="rect">
                            <a:avLst/>
                          </a:prstGeom>
                          <a:noFill/>
                          <a:ln>
                            <a:noFill/>
                          </a:ln>
                        </pic:spPr>
                      </pic:pic>
                    </a:graphicData>
                  </a:graphic>
                </wp:anchor>
              </w:drawing>
            </w:r>
          </w:p>
        </w:tc>
        <w:tc>
          <w:tcPr>
            <w:tcW w:w="2467" w:type="dxa"/>
            <w:vAlign w:val="center"/>
          </w:tcPr>
          <w:p w14:paraId="5CE6597B">
            <w:pPr>
              <w:widowControl/>
              <w:autoSpaceDE w:val="0"/>
              <w:autoSpaceDN w:val="0"/>
              <w:adjustRightInd w:val="0"/>
              <w:jc w:val="center"/>
              <w:textAlignment w:val="baseline"/>
              <w:rPr>
                <w:rFonts w:ascii="宋体" w:hAnsi="宋体" w:cs="宋体"/>
                <w:szCs w:val="21"/>
              </w:rPr>
            </w:pPr>
            <w:r>
              <w:rPr>
                <w:rFonts w:ascii="宋体" w:hAnsi="宋体" w:cs="宋体"/>
                <w:szCs w:val="21"/>
              </w:rPr>
              <w:drawing>
                <wp:anchor distT="0" distB="0" distL="114300" distR="114300" simplePos="0" relativeHeight="251665408" behindDoc="0" locked="0" layoutInCell="1" allowOverlap="1">
                  <wp:simplePos x="0" y="0"/>
                  <wp:positionH relativeFrom="column">
                    <wp:posOffset>1077595</wp:posOffset>
                  </wp:positionH>
                  <wp:positionV relativeFrom="paragraph">
                    <wp:posOffset>-12065</wp:posOffset>
                  </wp:positionV>
                  <wp:extent cx="371475" cy="350520"/>
                  <wp:effectExtent l="0" t="0" r="9525" b="11430"/>
                  <wp:wrapSquare wrapText="bothSides"/>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6"/>
                          <pic:cNvPicPr>
                            <a:picLocks noChangeAspect="1"/>
                          </pic:cNvPicPr>
                        </pic:nvPicPr>
                        <pic:blipFill>
                          <a:blip r:embed="rId15"/>
                          <a:stretch>
                            <a:fillRect/>
                          </a:stretch>
                        </pic:blipFill>
                        <pic:spPr>
                          <a:xfrm>
                            <a:off x="0" y="0"/>
                            <a:ext cx="371475" cy="350520"/>
                          </a:xfrm>
                          <a:prstGeom prst="rect">
                            <a:avLst/>
                          </a:prstGeom>
                          <a:noFill/>
                          <a:ln>
                            <a:noFill/>
                          </a:ln>
                        </pic:spPr>
                      </pic:pic>
                    </a:graphicData>
                  </a:graphic>
                </wp:anchor>
              </w:drawing>
            </w:r>
            <w:r>
              <w:rPr>
                <w:rFonts w:ascii="宋体" w:hAnsi="宋体" w:cs="宋体"/>
                <w:szCs w:val="21"/>
              </w:rPr>
              <w:t>严禁携带</w:t>
            </w:r>
          </w:p>
        </w:tc>
      </w:tr>
      <w:tr w14:paraId="3498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3011" w:type="dxa"/>
            <w:vAlign w:val="center"/>
          </w:tcPr>
          <w:p w14:paraId="7B3A6F24">
            <w:pPr>
              <w:widowControl/>
              <w:autoSpaceDE w:val="0"/>
              <w:autoSpaceDN w:val="0"/>
              <w:adjustRightInd w:val="0"/>
              <w:jc w:val="center"/>
              <w:textAlignment w:val="baseline"/>
              <w:rPr>
                <w:rFonts w:ascii="宋体" w:hAnsi="宋体" w:cs="宋体"/>
                <w:szCs w:val="21"/>
              </w:rPr>
            </w:pPr>
            <w:r>
              <w:rPr>
                <w:rFonts w:ascii="宋体" w:hAnsi="宋体" w:cs="宋体"/>
                <w:szCs w:val="21"/>
              </w:rPr>
              <w:t>有毒有害物</w:t>
            </w:r>
          </w:p>
        </w:tc>
        <w:tc>
          <w:tcPr>
            <w:tcW w:w="2945" w:type="dxa"/>
            <w:gridSpan w:val="2"/>
            <w:vAlign w:val="center"/>
          </w:tcPr>
          <w:p w14:paraId="7467C158">
            <w:pPr>
              <w:widowControl/>
              <w:autoSpaceDE w:val="0"/>
              <w:autoSpaceDN w:val="0"/>
              <w:adjustRightInd w:val="0"/>
              <w:jc w:val="center"/>
              <w:textAlignment w:val="baseline"/>
              <w:rPr>
                <w:rFonts w:ascii="宋体" w:hAnsi="宋体" w:cs="宋体"/>
                <w:szCs w:val="21"/>
              </w:rPr>
            </w:pPr>
            <w:r>
              <w:rPr>
                <w:rFonts w:ascii="宋体" w:hAnsi="宋体" w:cs="宋体"/>
                <w:szCs w:val="21"/>
              </w:rPr>
              <w:drawing>
                <wp:anchor distT="0" distB="0" distL="114300" distR="114300" simplePos="0" relativeHeight="251660288" behindDoc="0" locked="0" layoutInCell="1" allowOverlap="1">
                  <wp:simplePos x="0" y="0"/>
                  <wp:positionH relativeFrom="column">
                    <wp:posOffset>429260</wp:posOffset>
                  </wp:positionH>
                  <wp:positionV relativeFrom="paragraph">
                    <wp:posOffset>93345</wp:posOffset>
                  </wp:positionV>
                  <wp:extent cx="775970" cy="397510"/>
                  <wp:effectExtent l="0" t="0" r="5080" b="2540"/>
                  <wp:wrapSquare wrapText="bothSides"/>
                  <wp:docPr id="12" name="图片 14" descr="有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有毒"/>
                          <pic:cNvPicPr>
                            <a:picLocks noChangeAspect="1"/>
                          </pic:cNvPicPr>
                        </pic:nvPicPr>
                        <pic:blipFill>
                          <a:blip r:embed="rId18"/>
                          <a:srcRect b="14420"/>
                          <a:stretch>
                            <a:fillRect/>
                          </a:stretch>
                        </pic:blipFill>
                        <pic:spPr>
                          <a:xfrm>
                            <a:off x="0" y="0"/>
                            <a:ext cx="775970" cy="397510"/>
                          </a:xfrm>
                          <a:prstGeom prst="rect">
                            <a:avLst/>
                          </a:prstGeom>
                          <a:noFill/>
                          <a:ln>
                            <a:noFill/>
                          </a:ln>
                        </pic:spPr>
                      </pic:pic>
                    </a:graphicData>
                  </a:graphic>
                </wp:anchor>
              </w:drawing>
            </w:r>
          </w:p>
        </w:tc>
        <w:tc>
          <w:tcPr>
            <w:tcW w:w="2467" w:type="dxa"/>
            <w:vAlign w:val="center"/>
          </w:tcPr>
          <w:p w14:paraId="13165C86">
            <w:pPr>
              <w:widowControl/>
              <w:autoSpaceDE w:val="0"/>
              <w:autoSpaceDN w:val="0"/>
              <w:adjustRightInd w:val="0"/>
              <w:jc w:val="center"/>
              <w:textAlignment w:val="baseline"/>
              <w:rPr>
                <w:rFonts w:ascii="宋体" w:hAnsi="宋体" w:cs="宋体"/>
                <w:szCs w:val="21"/>
              </w:rPr>
            </w:pPr>
            <w:r>
              <w:rPr>
                <w:rFonts w:ascii="宋体" w:hAnsi="宋体" w:cs="宋体"/>
                <w:szCs w:val="21"/>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10160</wp:posOffset>
                  </wp:positionV>
                  <wp:extent cx="372110" cy="351155"/>
                  <wp:effectExtent l="0" t="0" r="8890" b="10795"/>
                  <wp:wrapSquare wrapText="bothSides"/>
                  <wp:docPr id="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
                          <pic:cNvPicPr>
                            <a:picLocks noChangeAspect="1"/>
                          </pic:cNvPicPr>
                        </pic:nvPicPr>
                        <pic:blipFill>
                          <a:blip r:embed="rId15"/>
                          <a:stretch>
                            <a:fillRect/>
                          </a:stretch>
                        </pic:blipFill>
                        <pic:spPr>
                          <a:xfrm>
                            <a:off x="0" y="0"/>
                            <a:ext cx="372110" cy="351155"/>
                          </a:xfrm>
                          <a:prstGeom prst="rect">
                            <a:avLst/>
                          </a:prstGeom>
                          <a:noFill/>
                          <a:ln>
                            <a:noFill/>
                          </a:ln>
                        </pic:spPr>
                      </pic:pic>
                    </a:graphicData>
                  </a:graphic>
                </wp:anchor>
              </w:drawing>
            </w:r>
            <w:r>
              <w:rPr>
                <w:rFonts w:ascii="宋体" w:hAnsi="宋体" w:cs="宋体"/>
                <w:szCs w:val="21"/>
              </w:rPr>
              <w:t>严禁携带</w:t>
            </w:r>
          </w:p>
        </w:tc>
      </w:tr>
    </w:tbl>
    <w:p w14:paraId="2373C999">
      <w:pPr>
        <w:widowControl/>
        <w:autoSpaceDE w:val="0"/>
        <w:autoSpaceDN w:val="0"/>
        <w:adjustRightInd w:val="0"/>
        <w:textAlignment w:val="baseline"/>
        <w:rPr>
          <w:rFonts w:ascii="宋体" w:hAnsi="宋体" w:cs="宋体"/>
          <w:szCs w:val="21"/>
        </w:rPr>
      </w:pPr>
    </w:p>
    <w:p w14:paraId="63B3FF36">
      <w:pPr>
        <w:adjustRightInd w:val="0"/>
        <w:snapToGrid w:val="0"/>
        <w:ind w:firstLine="420" w:firstLineChars="200"/>
      </w:pPr>
    </w:p>
    <w:bookmarkEnd w:id="0"/>
    <w:bookmarkEnd w:id="1"/>
    <w:bookmarkEnd w:id="2"/>
    <w:bookmarkEnd w:id="3"/>
    <w:bookmarkEnd w:id="4"/>
    <w:bookmarkEnd w:id="5"/>
    <w:bookmarkEnd w:id="112"/>
    <w:bookmarkEnd w:id="113"/>
    <w:p w14:paraId="44E22568">
      <w:pPr>
        <w:outlineLvl w:val="0"/>
        <w:rPr>
          <w:rFonts w:ascii="宋体" w:hAnsi="宋体" w:cs="宋体"/>
          <w:color w:val="000000" w:themeColor="text1"/>
          <w:sz w:val="28"/>
          <w:szCs w:val="28"/>
          <w14:textFill>
            <w14:solidFill>
              <w14:schemeClr w14:val="tx1"/>
            </w14:solidFill>
          </w14:textFill>
        </w:rPr>
      </w:pPr>
      <w:bookmarkStart w:id="126" w:name="_Toc18818"/>
      <w:bookmarkStart w:id="127" w:name="_Toc85"/>
      <w:bookmarkStart w:id="128" w:name="_Toc87011412"/>
      <w:bookmarkStart w:id="129" w:name="_Toc26911"/>
      <w:r>
        <w:rPr>
          <w:rFonts w:hint="eastAsia"/>
          <w:b/>
          <w:bCs/>
          <w:spacing w:val="-6"/>
          <w:sz w:val="32"/>
          <w:szCs w:val="32"/>
        </w:rPr>
        <w:t>五、健康、安全和环保要求</w:t>
      </w:r>
      <w:bookmarkEnd w:id="126"/>
      <w:bookmarkEnd w:id="127"/>
      <w:bookmarkEnd w:id="128"/>
      <w:bookmarkEnd w:id="129"/>
      <w:r>
        <w:rPr>
          <w:rFonts w:hint="eastAsia" w:ascii="宋体" w:hAnsi="宋体" w:cs="宋体"/>
          <w:color w:val="000000" w:themeColor="text1"/>
          <w:sz w:val="28"/>
          <w:szCs w:val="28"/>
          <w14:textFill>
            <w14:solidFill>
              <w14:schemeClr w14:val="tx1"/>
            </w14:solidFill>
          </w14:textFill>
        </w:rPr>
        <w:t xml:space="preserve"> </w:t>
      </w:r>
    </w:p>
    <w:p w14:paraId="1383DDCF">
      <w:pPr>
        <w:ind w:firstLine="562" w:firstLineChars="200"/>
        <w:outlineLvl w:val="1"/>
        <w:rPr>
          <w:rFonts w:ascii="宋体" w:hAnsi="宋体" w:cs="宋体"/>
          <w:b/>
          <w:bCs/>
          <w:color w:val="000000" w:themeColor="text1"/>
          <w:sz w:val="28"/>
          <w:szCs w:val="28"/>
          <w14:textFill>
            <w14:solidFill>
              <w14:schemeClr w14:val="tx1"/>
            </w14:solidFill>
          </w14:textFill>
        </w:rPr>
      </w:pPr>
      <w:bookmarkStart w:id="130" w:name="_Toc87011413"/>
      <w:bookmarkStart w:id="131" w:name="_Toc5693"/>
      <w:bookmarkStart w:id="132" w:name="_Toc9384"/>
      <w:r>
        <w:rPr>
          <w:rFonts w:hint="eastAsia" w:ascii="宋体" w:hAnsi="宋体" w:cs="宋体"/>
          <w:b/>
          <w:bCs/>
          <w:color w:val="000000" w:themeColor="text1"/>
          <w:sz w:val="28"/>
          <w:szCs w:val="28"/>
          <w14:textFill>
            <w14:solidFill>
              <w14:schemeClr w14:val="tx1"/>
            </w14:solidFill>
          </w14:textFill>
        </w:rPr>
        <w:t>（一）赛场预案</w:t>
      </w:r>
      <w:bookmarkEnd w:id="130"/>
      <w:bookmarkEnd w:id="131"/>
      <w:bookmarkEnd w:id="132"/>
    </w:p>
    <w:p w14:paraId="10131EE4">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为防范比赛时安全事故、活体材料准备等事故发生，维护正常的比赛秩序，保证大赛按时、安全、有序完成，制定以下赛场应急预案。</w:t>
      </w:r>
    </w:p>
    <w:p w14:paraId="34E6442D">
      <w:pPr>
        <w:widowControl/>
        <w:autoSpaceDE w:val="0"/>
        <w:autoSpaceDN w:val="0"/>
        <w:adjustRightInd w:val="0"/>
        <w:ind w:firstLine="372" w:firstLineChars="200"/>
        <w:textAlignment w:val="baseline"/>
        <w:rPr>
          <w:rFonts w:ascii="宋体" w:hAnsi="宋体" w:cs="宋体"/>
          <w:spacing w:val="-12"/>
          <w:szCs w:val="21"/>
        </w:rPr>
      </w:pPr>
      <w:bookmarkStart w:id="133" w:name="_Toc135436601"/>
      <w:bookmarkStart w:id="134" w:name="_Toc135429303"/>
      <w:bookmarkStart w:id="135" w:name="_Toc135424239"/>
      <w:bookmarkStart w:id="136" w:name="_Toc135467076"/>
      <w:r>
        <w:rPr>
          <w:rFonts w:hint="eastAsia" w:ascii="宋体" w:hAnsi="宋体" w:cs="宋体"/>
          <w:spacing w:val="-12"/>
          <w:szCs w:val="21"/>
        </w:rPr>
        <w:t>1、设备工具毁坏事件应急预案</w:t>
      </w:r>
    </w:p>
    <w:p w14:paraId="49450EAE">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竞赛现场依据“场地设备”清单配备2套完整的工具与2个工位备用，应对临时工位与设备出现意外，同时在专家室备用一套完整工具设备。</w:t>
      </w:r>
    </w:p>
    <w:p w14:paraId="7D6D8B29">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2、电源保障预案</w:t>
      </w:r>
    </w:p>
    <w:p w14:paraId="264A7FE0">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（1）承办单位事先协调当地供电部门，保证竞赛当天的正常供电；赛场双路供电。备用 UPS双保障，以保证赛场正常供电。</w:t>
      </w:r>
    </w:p>
    <w:p w14:paraId="43F38AD7">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（2）竞赛过程中出现设备掉电、故障等意外时，裁判组需及时确认情况，安排技术支持人员进行处理，裁判组登记详细情况，填写补时登记表，报裁判长批准后，可安排延长补足相应选手的比赛时间。</w:t>
      </w:r>
    </w:p>
    <w:p w14:paraId="29EC1D37">
      <w:pPr>
        <w:widowControl/>
        <w:autoSpaceDE w:val="0"/>
        <w:autoSpaceDN w:val="0"/>
        <w:adjustRightInd w:val="0"/>
        <w:ind w:firstLine="372" w:firstLineChars="200"/>
        <w:textAlignment w:val="baseline"/>
        <w:rPr>
          <w:rFonts w:ascii="宋体" w:hAnsi="宋体" w:cs="宋体"/>
          <w:spacing w:val="-12"/>
          <w:szCs w:val="21"/>
        </w:rPr>
      </w:pPr>
      <w:bookmarkStart w:id="137" w:name="（四）计算机保障预案"/>
      <w:bookmarkEnd w:id="137"/>
      <w:r>
        <w:rPr>
          <w:rFonts w:hint="eastAsia" w:ascii="宋体" w:hAnsi="宋体" w:cs="宋体"/>
          <w:spacing w:val="-12"/>
          <w:szCs w:val="21"/>
        </w:rPr>
        <w:t>3、计算机保障预案</w:t>
      </w:r>
    </w:p>
    <w:p w14:paraId="7DF030D0">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计算机设备在本赛项中用于统分、材料打印。需预留 1 套备用电脑及设备，当出现设备掉电、故障等意外时，由赛场技术支持人员予以及时处理或更换。</w:t>
      </w:r>
    </w:p>
    <w:p w14:paraId="49CB7D24">
      <w:pPr>
        <w:widowControl/>
        <w:autoSpaceDE w:val="0"/>
        <w:autoSpaceDN w:val="0"/>
        <w:adjustRightInd w:val="0"/>
        <w:ind w:firstLine="372" w:firstLineChars="200"/>
        <w:textAlignment w:val="baseline"/>
        <w:rPr>
          <w:rFonts w:ascii="宋体" w:hAnsi="宋体" w:cs="宋体"/>
          <w:spacing w:val="-12"/>
          <w:szCs w:val="21"/>
        </w:rPr>
      </w:pPr>
      <w:bookmarkStart w:id="138" w:name="（五）突发受伤医疗服务应急预案"/>
      <w:bookmarkEnd w:id="138"/>
      <w:r>
        <w:rPr>
          <w:rFonts w:hint="eastAsia" w:ascii="宋体" w:hAnsi="宋体" w:cs="宋体"/>
          <w:spacing w:val="-12"/>
          <w:szCs w:val="21"/>
        </w:rPr>
        <w:t>4、突发受伤医疗服务应急预案</w:t>
      </w:r>
    </w:p>
    <w:p w14:paraId="07DA41ED">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由于比赛需要使用剪刀、小刀等工具，加上比赛紧张，比赛中可能出现头晕、恶心、呕吐、出血等各种意外，配备现场医疗服务队，轻者在现场进行处理，重者转移至医疗服务区进行处理，严重者送往医院救治。</w:t>
      </w:r>
    </w:p>
    <w:p w14:paraId="487B428B">
      <w:pPr>
        <w:widowControl/>
        <w:autoSpaceDE w:val="0"/>
        <w:autoSpaceDN w:val="0"/>
        <w:adjustRightInd w:val="0"/>
        <w:ind w:firstLine="372" w:firstLineChars="200"/>
        <w:textAlignment w:val="baseline"/>
        <w:rPr>
          <w:rFonts w:ascii="宋体" w:hAnsi="宋体" w:cs="宋体"/>
          <w:spacing w:val="-12"/>
          <w:szCs w:val="21"/>
        </w:rPr>
      </w:pPr>
      <w:bookmarkStart w:id="139" w:name="（七）其他重大事故预案"/>
      <w:bookmarkEnd w:id="139"/>
      <w:bookmarkStart w:id="140" w:name="（六）疫情防控预案"/>
      <w:bookmarkEnd w:id="140"/>
      <w:r>
        <w:rPr>
          <w:rFonts w:hint="eastAsia" w:ascii="宋体" w:hAnsi="宋体" w:cs="宋体"/>
          <w:spacing w:val="-12"/>
          <w:szCs w:val="21"/>
        </w:rPr>
        <w:t>5、其他重大事故预案</w:t>
      </w:r>
    </w:p>
    <w:p w14:paraId="5BE7958D">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比赛期间发生大规模意外事故和安全问题，发现者应第一时间报告赛项执委会，赛项执委会应采取中止比赛、快速疏散人群等措施避免事态扩大，并第一时间报告赛区执委会。赛项出现重大安全问题可以停赛，是否停赛由赛区执委会决定。事后，赛区执委会应向大赛执委会报告详细情况。</w:t>
      </w:r>
    </w:p>
    <w:bookmarkEnd w:id="133"/>
    <w:bookmarkEnd w:id="134"/>
    <w:bookmarkEnd w:id="135"/>
    <w:bookmarkEnd w:id="136"/>
    <w:p w14:paraId="6D0BE146">
      <w:pPr>
        <w:numPr>
          <w:ilvl w:val="0"/>
          <w:numId w:val="1"/>
        </w:numPr>
        <w:ind w:firstLine="562" w:firstLineChars="200"/>
        <w:outlineLvl w:val="1"/>
        <w:rPr>
          <w:rFonts w:ascii="宋体" w:hAnsi="宋体" w:cs="宋体"/>
          <w:b/>
          <w:bCs/>
          <w:color w:val="000000" w:themeColor="text1"/>
          <w:sz w:val="28"/>
          <w:szCs w:val="28"/>
          <w14:textFill>
            <w14:solidFill>
              <w14:schemeClr w14:val="tx1"/>
            </w14:solidFill>
          </w14:textFill>
        </w:rPr>
      </w:pPr>
      <w:bookmarkStart w:id="141" w:name="_Toc87011414"/>
      <w:bookmarkStart w:id="142" w:name="_Toc29092"/>
      <w:bookmarkStart w:id="143" w:name="_Toc14386"/>
      <w:r>
        <w:rPr>
          <w:rFonts w:hint="eastAsia" w:ascii="宋体" w:hAnsi="宋体" w:cs="宋体"/>
          <w:b/>
          <w:bCs/>
          <w:color w:val="000000" w:themeColor="text1"/>
          <w:sz w:val="28"/>
          <w:szCs w:val="28"/>
          <w14:textFill>
            <w14:solidFill>
              <w14:schemeClr w14:val="tx1"/>
            </w14:solidFill>
          </w14:textFill>
        </w:rPr>
        <w:t>赛项安全</w:t>
      </w:r>
      <w:bookmarkEnd w:id="141"/>
      <w:bookmarkEnd w:id="142"/>
      <w:bookmarkEnd w:id="143"/>
    </w:p>
    <w:p w14:paraId="699DC6D5">
      <w:pPr>
        <w:widowControl/>
        <w:autoSpaceDE w:val="0"/>
        <w:autoSpaceDN w:val="0"/>
        <w:adjustRightInd w:val="0"/>
        <w:ind w:firstLine="372" w:firstLineChars="200"/>
        <w:textAlignment w:val="baseline"/>
        <w:rPr>
          <w:rFonts w:ascii="宋体" w:hAnsi="宋体" w:cs="宋体"/>
          <w:spacing w:val="-12"/>
          <w:szCs w:val="21"/>
        </w:rPr>
      </w:pPr>
      <w:bookmarkStart w:id="144" w:name="（一）选手安全防护要求"/>
      <w:bookmarkEnd w:id="144"/>
      <w:r>
        <w:rPr>
          <w:rFonts w:hint="eastAsia" w:ascii="宋体" w:hAnsi="宋体" w:cs="宋体"/>
          <w:spacing w:val="-12"/>
          <w:szCs w:val="21"/>
        </w:rPr>
        <w:t>1、选手安全防护要求</w:t>
      </w:r>
    </w:p>
    <w:p w14:paraId="57AE8208">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（1）参赛选手应严格遵守设备安全操作规程。</w:t>
      </w:r>
    </w:p>
    <w:p w14:paraId="09520CDE">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（2）参赛选手停止操作时，应保证设备的正常运行，比赛结束后，所有设备保持运行状态，不要拆、动硬件连接，确保设备正常运行和正常评分。</w:t>
      </w:r>
    </w:p>
    <w:p w14:paraId="36082058">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（3）参赛选手应遵从安全规范操作，例如: ESD(静电放电)，静电放电无害环境下的设备用途，安全使用及储存。</w:t>
      </w:r>
    </w:p>
    <w:p w14:paraId="6DDED2FE">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（4）参赛选手应保证设备和信息完整及安全。</w:t>
      </w:r>
    </w:p>
    <w:p w14:paraId="44FEF507">
      <w:pPr>
        <w:widowControl/>
        <w:autoSpaceDE w:val="0"/>
        <w:autoSpaceDN w:val="0"/>
        <w:adjustRightInd w:val="0"/>
        <w:ind w:firstLine="372" w:firstLineChars="200"/>
        <w:textAlignment w:val="baseline"/>
        <w:rPr>
          <w:rFonts w:ascii="宋体" w:hAnsi="宋体" w:cs="宋体"/>
          <w:spacing w:val="-12"/>
          <w:szCs w:val="21"/>
        </w:rPr>
      </w:pPr>
      <w:bookmarkStart w:id="145" w:name="（二)赛事安全要求"/>
      <w:bookmarkEnd w:id="145"/>
      <w:r>
        <w:rPr>
          <w:rFonts w:hint="eastAsia" w:ascii="宋体" w:hAnsi="宋体" w:cs="宋体"/>
          <w:spacing w:val="-12"/>
          <w:szCs w:val="21"/>
        </w:rPr>
        <w:t>2、赛事安全要求</w:t>
      </w:r>
    </w:p>
    <w:p w14:paraId="0576527A">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（1）禁止选手及所有参加赛事的人员携带任何有毒有害物品进入竞赛现场。</w:t>
      </w:r>
    </w:p>
    <w:p w14:paraId="1B89A751">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（2）设置安全防卫组，负责竞赛期间健康和安全事务。主要包括检查竞赛场地、与会人员居住地、车辆交通及其周围环境的安全防卫;制定紧急应对方案; 监督与会人员食品安全与卫生;分析和处理安全突发事件等工作。</w:t>
      </w:r>
    </w:p>
    <w:p w14:paraId="703F406E">
      <w:pPr>
        <w:widowControl/>
        <w:autoSpaceDE w:val="0"/>
        <w:autoSpaceDN w:val="0"/>
        <w:adjustRightInd w:val="0"/>
        <w:ind w:firstLine="372" w:firstLineChars="200"/>
        <w:textAlignment w:val="baseline"/>
        <w:rPr>
          <w:rFonts w:ascii="宋体" w:hAnsi="宋体" w:cs="宋体"/>
          <w:spacing w:val="-12"/>
          <w:szCs w:val="21"/>
        </w:rPr>
      </w:pPr>
      <w:bookmarkStart w:id="146" w:name="_Toc24566"/>
      <w:r>
        <w:rPr>
          <w:rFonts w:hint="eastAsia" w:ascii="宋体" w:hAnsi="宋体" w:cs="宋体"/>
          <w:spacing w:val="-12"/>
          <w:szCs w:val="21"/>
        </w:rPr>
        <w:t>（3）赛场须配备相应医疗人员和急救人员，并备有相应急救设施。</w:t>
      </w:r>
      <w:bookmarkEnd w:id="146"/>
    </w:p>
    <w:p w14:paraId="4808386D">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（4）赛场内除指定的裁判、技术支持、选手、工作人员外，其他人员不得进入赛场内。</w:t>
      </w:r>
    </w:p>
    <w:p w14:paraId="37305AD7">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（5）允许进入赛场的人员，只可在安全区内观摩竞赛。</w:t>
      </w:r>
    </w:p>
    <w:p w14:paraId="09147843">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（6）允许进入赛场的人员，应遵守赛场规则，不得与选手交谈，不得妨碍、 干扰选手竞赛。</w:t>
      </w:r>
    </w:p>
    <w:p w14:paraId="329921F9">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（7）允许进入赛场的人员，不得在场内吸烟、喧哗。</w:t>
      </w:r>
    </w:p>
    <w:p w14:paraId="25CB36A3">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（8）赛场所在场馆周围保证没有人员妨碍、干扰选手竞赛，不得有任何影响竞赛公平、公正的行为。</w:t>
      </w:r>
    </w:p>
    <w:p w14:paraId="309FA982">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（9）赛场设有保安、公安、消防、医疗、设备维修和电力抢险人员待命，以防突发事件；赛场还应设有生活补给站等公共服务设施，为选手和赛场人员提供服务。</w:t>
      </w:r>
    </w:p>
    <w:p w14:paraId="2DA09A8D">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（1</w:t>
      </w:r>
      <w:r>
        <w:rPr>
          <w:rFonts w:ascii="宋体" w:hAnsi="宋体" w:cs="宋体"/>
          <w:spacing w:val="-12"/>
          <w:szCs w:val="21"/>
        </w:rPr>
        <w:t>0</w:t>
      </w:r>
      <w:r>
        <w:rPr>
          <w:rFonts w:hint="eastAsia" w:ascii="宋体" w:hAnsi="宋体" w:cs="宋体"/>
          <w:spacing w:val="-12"/>
          <w:szCs w:val="21"/>
        </w:rPr>
        <w:t>）赛场设置安全通道和警戒线，确保进入赛场的大赛参观、采访、视察的人员限定在安全区域内活动，以保证大赛安全有序进行。</w:t>
      </w:r>
    </w:p>
    <w:p w14:paraId="7DD26881">
      <w:pPr>
        <w:ind w:firstLine="562" w:firstLineChars="200"/>
        <w:outlineLvl w:val="1"/>
        <w:rPr>
          <w:rFonts w:ascii="宋体" w:hAnsi="宋体" w:cs="宋体"/>
          <w:b/>
          <w:bCs/>
          <w:color w:val="000000" w:themeColor="text1"/>
          <w:sz w:val="28"/>
          <w:szCs w:val="28"/>
          <w14:textFill>
            <w14:solidFill>
              <w14:schemeClr w14:val="tx1"/>
            </w14:solidFill>
          </w14:textFill>
        </w:rPr>
      </w:pPr>
      <w:bookmarkStart w:id="147" w:name="_Toc87011415"/>
      <w:bookmarkStart w:id="148" w:name="_Toc26056"/>
      <w:bookmarkStart w:id="149" w:name="_Toc14485"/>
      <w:r>
        <w:rPr>
          <w:rFonts w:hint="eastAsia" w:ascii="宋体" w:hAnsi="宋体" w:cs="宋体"/>
          <w:b/>
          <w:bCs/>
          <w:color w:val="000000" w:themeColor="text1"/>
          <w:sz w:val="28"/>
          <w:szCs w:val="28"/>
          <w14:textFill>
            <w14:solidFill>
              <w14:schemeClr w14:val="tx1"/>
            </w14:solidFill>
          </w14:textFill>
        </w:rPr>
        <w:t>（三）绿色环保要求</w:t>
      </w:r>
      <w:bookmarkEnd w:id="147"/>
      <w:bookmarkEnd w:id="148"/>
      <w:bookmarkEnd w:id="149"/>
    </w:p>
    <w:p w14:paraId="7EA7A397">
      <w:pPr>
        <w:widowControl/>
        <w:autoSpaceDE w:val="0"/>
        <w:autoSpaceDN w:val="0"/>
        <w:adjustRightInd w:val="0"/>
        <w:ind w:firstLine="372" w:firstLineChars="200"/>
        <w:textAlignment w:val="baseline"/>
        <w:rPr>
          <w:rFonts w:ascii="宋体" w:hAnsi="宋体" w:cs="宋体"/>
          <w:spacing w:val="-12"/>
          <w:szCs w:val="21"/>
        </w:rPr>
      </w:pPr>
      <w:r>
        <w:rPr>
          <w:rFonts w:hint="eastAsia" w:ascii="宋体" w:hAnsi="宋体" w:cs="宋体"/>
          <w:spacing w:val="-12"/>
          <w:szCs w:val="21"/>
        </w:rPr>
        <w:t>1.环境保护：大赛应注重环境保护，绝不允许破坏环境。</w:t>
      </w:r>
    </w:p>
    <w:p w14:paraId="593A75BD">
      <w:pPr>
        <w:ind w:firstLine="372" w:firstLineChars="200"/>
        <w:rPr>
          <w:rFonts w:ascii="宋体" w:hAnsi="宋体" w:cs="宋体"/>
          <w:color w:val="000000" w:themeColor="text1"/>
          <w:szCs w:val="21"/>
          <w14:textFill>
            <w14:solidFill>
              <w14:schemeClr w14:val="tx1"/>
            </w14:solidFill>
          </w14:textFill>
        </w:rPr>
      </w:pPr>
      <w:r>
        <w:rPr>
          <w:rFonts w:hint="eastAsia" w:ascii="宋体" w:hAnsi="宋体" w:cs="宋体"/>
          <w:spacing w:val="-12"/>
          <w:szCs w:val="21"/>
        </w:rPr>
        <w:t>2.循环利用：大赛期间产生的废料和切屑必须分类收集和回收。</w:t>
      </w:r>
    </w:p>
    <w:sectPr>
      <w:pgSz w:w="11906" w:h="16838"/>
      <w:pgMar w:top="1440" w:right="1417" w:bottom="1440"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6FBE4">
    <w:pPr>
      <w:pStyle w:val="12"/>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42EBB00">
                          <w:pPr>
                            <w:pStyle w:val="1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Racj7YAQAAsAMAAA4AAABkcnMvZTJvRG9jLnhtbK1TS27bMBDdB+gd&#10;CO5ryW6bGILlIIWRokDRBkh7AJoiLQL8gUNb8gXaG3TVTfc5l8+RISU5RbrJIhtqhjN8M+/NaHXd&#10;G00OIoBytqbzWUmJsNw1yu5q+uP77dslJRCZbZh2VtT0KIBer99crDpfiYVrnW5EIAhioep8TdsY&#10;fVUUwFthGMycFxaD0gXDIrphVzSBdYhudLEoy8uic6HxwXEBgLebIUhHxPASQCel4mLj+N4IGwfU&#10;IDSLSAla5YGuc7dSCh6/SQkiEl1TZBrziUXQ3qazWK9YtQvMt4qPLbCXtPCMk2HKYtEz1IZFRvZB&#10;/QdlFA8OnIwz7kwxEMmKIIt5+Uyb+5Z5kbmg1ODPosPrwfKvh7tAVFPT95RYZnDgp9+/Tn8eTn9/&#10;kqskT+ehwqx7j3mx/+h6XJrpHvAyse5lMOmLfAjGUdzjWVzRR8LTo+ViuSwxxDE2OYhfPD33AeIn&#10;4QxJRk0DTi+Lyg5fIA6pU0qqZt2t0jpPUFvS1fTy3YcyPzhHEFzblCvyLowwidLQerJiv+1HnlvX&#10;HJFmh/tQU4vrT4n+bFHutDqTESZjOxl7H9SuxY7nuTr4m33E3nLLqcIAi1STg4PMpMelS5vyr5+z&#10;nn609S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SVju0AAAAAUBAAAPAAAAAAAAAAEAIAAAACIA&#10;AABkcnMvZG93bnJldi54bWxQSwECFAAUAAAACACHTuJANFpyPtgBAACwAwAADgAAAAAAAAABACAA&#10;AAAfAQAAZHJzL2Uyb0RvYy54bWxQSwUGAAAAAAYABgBZAQAAaQUAAAAA&#10;">
              <v:fill on="f" focussize="0,0"/>
              <v:stroke on="f" weight="0.5pt"/>
              <v:imagedata o:title=""/>
              <o:lock v:ext="edit" aspectratio="f"/>
              <v:textbox inset="0mm,0mm,0mm,0mm" style="mso-fit-shape-to-text:t;">
                <w:txbxContent>
                  <w:p w14:paraId="442EBB00">
                    <w:pPr>
                      <w:pStyle w:val="1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E708F">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4967D">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2740390"/>
      <w:docPartObj>
        <w:docPartGallery w:val="autotext"/>
      </w:docPartObj>
    </w:sdtPr>
    <w:sdtContent>
      <w:p w14:paraId="48491A2F">
        <w:pPr>
          <w:pStyle w:val="12"/>
          <w:jc w:val="center"/>
        </w:pPr>
        <w:r>
          <w:fldChar w:fldCharType="begin"/>
        </w:r>
        <w:r>
          <w:instrText xml:space="preserve">PAGE   \* MERGEFORMAT</w:instrText>
        </w:r>
        <w:r>
          <w:fldChar w:fldCharType="separate"/>
        </w:r>
        <w:r>
          <w:rPr>
            <w:lang w:val="zh-CN"/>
          </w:rPr>
          <w:t>2</w:t>
        </w:r>
        <w:r>
          <w:fldChar w:fldCharType="end"/>
        </w:r>
      </w:p>
    </w:sdtContent>
  </w:sdt>
  <w:p w14:paraId="6AD05AEC">
    <w:pPr>
      <w:spacing w:line="232" w:lineRule="auto"/>
      <w:ind w:left="29"/>
      <w:rPr>
        <w:rFonts w:ascii="宋体" w:hAnsi="宋体" w:cs="宋体"/>
        <w:sz w:val="25"/>
        <w:szCs w:val="25"/>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83B39">
    <w:pPr>
      <w:pStyle w:val="13"/>
      <w:jc w:val="center"/>
    </w:pPr>
    <w:r>
      <w:rPr>
        <w:rFonts w:hint="eastAsia"/>
      </w:rPr>
      <w:t>第五届晋城职业技能大赛暨第七届职工职业技能大赛新能源汽车智能化技术（双人赛项）项目技术文件</w:t>
    </w:r>
  </w:p>
  <w:p w14:paraId="09C3A1FC">
    <w:pPr>
      <w:pStyle w:val="13"/>
      <w:pBdr>
        <w:top w:val="none" w:color="auto" w:sz="0" w:space="0"/>
        <w:left w:val="none" w:color="auto" w:sz="0" w:space="0"/>
        <w:bottom w:val="none" w:color="auto" w:sz="0" w:space="0"/>
        <w:right w:val="none" w:color="auto" w:sz="0" w:space="0"/>
      </w:pBdr>
      <w:tabs>
        <w:tab w:val="left" w:pos="1183"/>
        <w:tab w:val="center" w:pos="4212"/>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ED668">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41BCD">
    <w:pPr>
      <w:pStyle w:val="1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08E10">
    <w:pPr>
      <w:pStyle w:val="13"/>
      <w:tabs>
        <w:tab w:val="left" w:pos="2939"/>
        <w:tab w:val="right" w:pos="9192"/>
      </w:tabs>
      <w:jc w:val="center"/>
    </w:pPr>
    <w:r>
      <w:rPr>
        <w:rFonts w:hint="eastAsia"/>
      </w:rPr>
      <w:t>第五届晋城职业技能大赛暨第七届职工职业技能大赛新能源汽车智能化技术（双人赛项）项目技术文件</w:t>
    </w:r>
  </w:p>
  <w:p w14:paraId="25E1ADE8">
    <w:pPr>
      <w:pStyle w:val="13"/>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D9F70F"/>
    <w:multiLevelType w:val="singleLevel"/>
    <w:tmpl w:val="1FD9F70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75"/>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ZjODFlOGY3MTcyMGUxZDNlM2E1YWIwODkxODAyYWMifQ=="/>
    <w:docVar w:name="KSO_WPS_MARK_KEY" w:val="cb2e78fb-912e-42ef-86f8-e21f9ea7c932"/>
  </w:docVars>
  <w:rsids>
    <w:rsidRoot w:val="00DE10FA"/>
    <w:rsid w:val="00046DA7"/>
    <w:rsid w:val="00076098"/>
    <w:rsid w:val="00082DAF"/>
    <w:rsid w:val="000A0AE5"/>
    <w:rsid w:val="000B777F"/>
    <w:rsid w:val="000C2F41"/>
    <w:rsid w:val="000C324A"/>
    <w:rsid w:val="001925A9"/>
    <w:rsid w:val="001A5099"/>
    <w:rsid w:val="001B6F4E"/>
    <w:rsid w:val="00252FDE"/>
    <w:rsid w:val="002A1C4C"/>
    <w:rsid w:val="002A698E"/>
    <w:rsid w:val="002C1577"/>
    <w:rsid w:val="002C446C"/>
    <w:rsid w:val="002D4ACF"/>
    <w:rsid w:val="0038282E"/>
    <w:rsid w:val="00393F6E"/>
    <w:rsid w:val="003D6206"/>
    <w:rsid w:val="003E084F"/>
    <w:rsid w:val="003F19FC"/>
    <w:rsid w:val="00402995"/>
    <w:rsid w:val="00432C48"/>
    <w:rsid w:val="00441B38"/>
    <w:rsid w:val="00442A80"/>
    <w:rsid w:val="004854B4"/>
    <w:rsid w:val="00486AC7"/>
    <w:rsid w:val="004C40FA"/>
    <w:rsid w:val="004D1FC2"/>
    <w:rsid w:val="004E453A"/>
    <w:rsid w:val="004F6EBB"/>
    <w:rsid w:val="00536237"/>
    <w:rsid w:val="0057506C"/>
    <w:rsid w:val="005D647C"/>
    <w:rsid w:val="00604EBE"/>
    <w:rsid w:val="00654DE1"/>
    <w:rsid w:val="00657F76"/>
    <w:rsid w:val="00662E44"/>
    <w:rsid w:val="00676CDF"/>
    <w:rsid w:val="00687C1B"/>
    <w:rsid w:val="006931B1"/>
    <w:rsid w:val="006A28BB"/>
    <w:rsid w:val="006B2A18"/>
    <w:rsid w:val="006D7E08"/>
    <w:rsid w:val="0071698E"/>
    <w:rsid w:val="0074543C"/>
    <w:rsid w:val="00747C91"/>
    <w:rsid w:val="00797AF5"/>
    <w:rsid w:val="007B14C3"/>
    <w:rsid w:val="007C4135"/>
    <w:rsid w:val="0087308D"/>
    <w:rsid w:val="00884EAB"/>
    <w:rsid w:val="00891B87"/>
    <w:rsid w:val="008C1AEF"/>
    <w:rsid w:val="008D324F"/>
    <w:rsid w:val="008F0C7A"/>
    <w:rsid w:val="009725BE"/>
    <w:rsid w:val="009F4628"/>
    <w:rsid w:val="00A229D0"/>
    <w:rsid w:val="00A52DC9"/>
    <w:rsid w:val="00A8041C"/>
    <w:rsid w:val="00AC2BD2"/>
    <w:rsid w:val="00AD1A4E"/>
    <w:rsid w:val="00AD6B64"/>
    <w:rsid w:val="00B05010"/>
    <w:rsid w:val="00B6332F"/>
    <w:rsid w:val="00B63886"/>
    <w:rsid w:val="00B95E61"/>
    <w:rsid w:val="00BC2B62"/>
    <w:rsid w:val="00BE67F1"/>
    <w:rsid w:val="00C162F9"/>
    <w:rsid w:val="00C3420F"/>
    <w:rsid w:val="00C35349"/>
    <w:rsid w:val="00C84D46"/>
    <w:rsid w:val="00C861F8"/>
    <w:rsid w:val="00C96930"/>
    <w:rsid w:val="00D53124"/>
    <w:rsid w:val="00D96DC0"/>
    <w:rsid w:val="00DE10FA"/>
    <w:rsid w:val="00DF525F"/>
    <w:rsid w:val="00E32AC3"/>
    <w:rsid w:val="00E4782F"/>
    <w:rsid w:val="00E95A52"/>
    <w:rsid w:val="00EB132A"/>
    <w:rsid w:val="00F14D79"/>
    <w:rsid w:val="00F6369C"/>
    <w:rsid w:val="00F67F4D"/>
    <w:rsid w:val="00F72448"/>
    <w:rsid w:val="00FB0C37"/>
    <w:rsid w:val="00FC4361"/>
    <w:rsid w:val="00FC66C3"/>
    <w:rsid w:val="00FF7E94"/>
    <w:rsid w:val="010B22B0"/>
    <w:rsid w:val="0157162E"/>
    <w:rsid w:val="015F51E5"/>
    <w:rsid w:val="016C5581"/>
    <w:rsid w:val="018449A0"/>
    <w:rsid w:val="01F101DB"/>
    <w:rsid w:val="01FE2FD8"/>
    <w:rsid w:val="021022EA"/>
    <w:rsid w:val="022A1B90"/>
    <w:rsid w:val="022F604D"/>
    <w:rsid w:val="02353AE2"/>
    <w:rsid w:val="023922D4"/>
    <w:rsid w:val="02460C07"/>
    <w:rsid w:val="025D5124"/>
    <w:rsid w:val="02AF6E21"/>
    <w:rsid w:val="02F42F6A"/>
    <w:rsid w:val="030737EF"/>
    <w:rsid w:val="03131D7B"/>
    <w:rsid w:val="033E6B87"/>
    <w:rsid w:val="03DE278A"/>
    <w:rsid w:val="04137821"/>
    <w:rsid w:val="04147C2D"/>
    <w:rsid w:val="041A6225"/>
    <w:rsid w:val="04262C13"/>
    <w:rsid w:val="04284C5D"/>
    <w:rsid w:val="04551A04"/>
    <w:rsid w:val="0469147C"/>
    <w:rsid w:val="04701E3B"/>
    <w:rsid w:val="04802028"/>
    <w:rsid w:val="048561D5"/>
    <w:rsid w:val="04D24398"/>
    <w:rsid w:val="04DC77F8"/>
    <w:rsid w:val="051C3861"/>
    <w:rsid w:val="05227969"/>
    <w:rsid w:val="053A1F9E"/>
    <w:rsid w:val="055B3A4F"/>
    <w:rsid w:val="059D56D9"/>
    <w:rsid w:val="05AF1F5B"/>
    <w:rsid w:val="05FC0DDC"/>
    <w:rsid w:val="06033DE4"/>
    <w:rsid w:val="06186311"/>
    <w:rsid w:val="061C3940"/>
    <w:rsid w:val="062C4F28"/>
    <w:rsid w:val="063E0F1F"/>
    <w:rsid w:val="06432609"/>
    <w:rsid w:val="068B01D1"/>
    <w:rsid w:val="06C23F31"/>
    <w:rsid w:val="06D60850"/>
    <w:rsid w:val="07782516"/>
    <w:rsid w:val="07E011FC"/>
    <w:rsid w:val="08094535"/>
    <w:rsid w:val="082F4DFB"/>
    <w:rsid w:val="08353DE9"/>
    <w:rsid w:val="084E2C27"/>
    <w:rsid w:val="08856AD6"/>
    <w:rsid w:val="08B81D1A"/>
    <w:rsid w:val="08D05AFA"/>
    <w:rsid w:val="09385E0E"/>
    <w:rsid w:val="095A593D"/>
    <w:rsid w:val="0A2D780A"/>
    <w:rsid w:val="0A3D4C69"/>
    <w:rsid w:val="0A4F4D50"/>
    <w:rsid w:val="0A8C1F1C"/>
    <w:rsid w:val="0AB5258D"/>
    <w:rsid w:val="0AEB0AB7"/>
    <w:rsid w:val="0B646D85"/>
    <w:rsid w:val="0B6A2F73"/>
    <w:rsid w:val="0B712C0F"/>
    <w:rsid w:val="0BFE616F"/>
    <w:rsid w:val="0C05627A"/>
    <w:rsid w:val="0C211B60"/>
    <w:rsid w:val="0C230710"/>
    <w:rsid w:val="0C96228F"/>
    <w:rsid w:val="0CAE7888"/>
    <w:rsid w:val="0CB63F55"/>
    <w:rsid w:val="0CC54B85"/>
    <w:rsid w:val="0CEC2471"/>
    <w:rsid w:val="0D360C75"/>
    <w:rsid w:val="0D46476C"/>
    <w:rsid w:val="0D66383B"/>
    <w:rsid w:val="0DDF1D44"/>
    <w:rsid w:val="0DE248B0"/>
    <w:rsid w:val="0E015D75"/>
    <w:rsid w:val="0E1C65C9"/>
    <w:rsid w:val="0E577699"/>
    <w:rsid w:val="0E6E2BD5"/>
    <w:rsid w:val="0E760812"/>
    <w:rsid w:val="0E7616B1"/>
    <w:rsid w:val="0EEF53B8"/>
    <w:rsid w:val="0F452BF0"/>
    <w:rsid w:val="0FF121B2"/>
    <w:rsid w:val="0FF45FEB"/>
    <w:rsid w:val="100800C2"/>
    <w:rsid w:val="100B3384"/>
    <w:rsid w:val="10267E79"/>
    <w:rsid w:val="102842FF"/>
    <w:rsid w:val="10456CF7"/>
    <w:rsid w:val="10622C76"/>
    <w:rsid w:val="106C603B"/>
    <w:rsid w:val="10997208"/>
    <w:rsid w:val="10A5336D"/>
    <w:rsid w:val="10D26D34"/>
    <w:rsid w:val="10D40D1D"/>
    <w:rsid w:val="10DD77C5"/>
    <w:rsid w:val="10FC463B"/>
    <w:rsid w:val="1101768E"/>
    <w:rsid w:val="113E5344"/>
    <w:rsid w:val="11B62361"/>
    <w:rsid w:val="1205435B"/>
    <w:rsid w:val="12203E69"/>
    <w:rsid w:val="124B69B1"/>
    <w:rsid w:val="126F46D1"/>
    <w:rsid w:val="12D11331"/>
    <w:rsid w:val="13C7595D"/>
    <w:rsid w:val="14051F02"/>
    <w:rsid w:val="141647BB"/>
    <w:rsid w:val="143F4710"/>
    <w:rsid w:val="14C278C9"/>
    <w:rsid w:val="15502891"/>
    <w:rsid w:val="15544128"/>
    <w:rsid w:val="15552C4C"/>
    <w:rsid w:val="156263F3"/>
    <w:rsid w:val="15DC3CDF"/>
    <w:rsid w:val="165C5FE8"/>
    <w:rsid w:val="16951753"/>
    <w:rsid w:val="16D34842"/>
    <w:rsid w:val="17000B16"/>
    <w:rsid w:val="17037D01"/>
    <w:rsid w:val="171C1E62"/>
    <w:rsid w:val="177B112F"/>
    <w:rsid w:val="1799082A"/>
    <w:rsid w:val="17DC0CB4"/>
    <w:rsid w:val="17E05E5C"/>
    <w:rsid w:val="181F69C9"/>
    <w:rsid w:val="182E2034"/>
    <w:rsid w:val="18741B95"/>
    <w:rsid w:val="187B7266"/>
    <w:rsid w:val="188C51C5"/>
    <w:rsid w:val="18A25CB3"/>
    <w:rsid w:val="18B0031A"/>
    <w:rsid w:val="19084A57"/>
    <w:rsid w:val="191C10A7"/>
    <w:rsid w:val="193074CE"/>
    <w:rsid w:val="19781C17"/>
    <w:rsid w:val="198F7ACB"/>
    <w:rsid w:val="19AD1CFF"/>
    <w:rsid w:val="19E80F89"/>
    <w:rsid w:val="1A0862C4"/>
    <w:rsid w:val="1A6A72FA"/>
    <w:rsid w:val="1A7F284D"/>
    <w:rsid w:val="1A9733B7"/>
    <w:rsid w:val="1AB534FD"/>
    <w:rsid w:val="1ACE7BF1"/>
    <w:rsid w:val="1AF635BE"/>
    <w:rsid w:val="1B1A6852"/>
    <w:rsid w:val="1B52730E"/>
    <w:rsid w:val="1BBE758F"/>
    <w:rsid w:val="1BFE6D86"/>
    <w:rsid w:val="1C0D1E17"/>
    <w:rsid w:val="1C0F6CE5"/>
    <w:rsid w:val="1C324D41"/>
    <w:rsid w:val="1C48449C"/>
    <w:rsid w:val="1C6537AA"/>
    <w:rsid w:val="1C740600"/>
    <w:rsid w:val="1C8C55A9"/>
    <w:rsid w:val="1CED4403"/>
    <w:rsid w:val="1E236FC6"/>
    <w:rsid w:val="1E280C91"/>
    <w:rsid w:val="1E3A06DF"/>
    <w:rsid w:val="1E4E6023"/>
    <w:rsid w:val="1E5B3C1B"/>
    <w:rsid w:val="1E6A1622"/>
    <w:rsid w:val="1E6A47A0"/>
    <w:rsid w:val="1ECC65E1"/>
    <w:rsid w:val="1F390459"/>
    <w:rsid w:val="1F450E68"/>
    <w:rsid w:val="1FA67E0B"/>
    <w:rsid w:val="1FCD1A15"/>
    <w:rsid w:val="1FE135BE"/>
    <w:rsid w:val="1FFE432D"/>
    <w:rsid w:val="20157F59"/>
    <w:rsid w:val="20584A75"/>
    <w:rsid w:val="20657A75"/>
    <w:rsid w:val="2090504E"/>
    <w:rsid w:val="20921FC6"/>
    <w:rsid w:val="20D67B8D"/>
    <w:rsid w:val="21097532"/>
    <w:rsid w:val="21501547"/>
    <w:rsid w:val="216C2298"/>
    <w:rsid w:val="216F7BC6"/>
    <w:rsid w:val="218F4792"/>
    <w:rsid w:val="219C6A1D"/>
    <w:rsid w:val="21A91A7B"/>
    <w:rsid w:val="21E7274D"/>
    <w:rsid w:val="220422F3"/>
    <w:rsid w:val="221C62C3"/>
    <w:rsid w:val="226518DA"/>
    <w:rsid w:val="22AC4E4B"/>
    <w:rsid w:val="22B02DEC"/>
    <w:rsid w:val="22BD6BF2"/>
    <w:rsid w:val="22CA14E3"/>
    <w:rsid w:val="22CF1918"/>
    <w:rsid w:val="231363D8"/>
    <w:rsid w:val="231748A4"/>
    <w:rsid w:val="23325A78"/>
    <w:rsid w:val="23390FB9"/>
    <w:rsid w:val="23451616"/>
    <w:rsid w:val="23AC5D10"/>
    <w:rsid w:val="23BF0FAD"/>
    <w:rsid w:val="23F706BC"/>
    <w:rsid w:val="24214ECE"/>
    <w:rsid w:val="24232F6E"/>
    <w:rsid w:val="243F747D"/>
    <w:rsid w:val="243F78A4"/>
    <w:rsid w:val="245A7B36"/>
    <w:rsid w:val="24621FDA"/>
    <w:rsid w:val="249206AA"/>
    <w:rsid w:val="24FE249F"/>
    <w:rsid w:val="250268AC"/>
    <w:rsid w:val="250D01AB"/>
    <w:rsid w:val="253951D2"/>
    <w:rsid w:val="25761BF7"/>
    <w:rsid w:val="25777585"/>
    <w:rsid w:val="257B0782"/>
    <w:rsid w:val="25D14899"/>
    <w:rsid w:val="25DF78C4"/>
    <w:rsid w:val="260B547B"/>
    <w:rsid w:val="2614636F"/>
    <w:rsid w:val="2662602D"/>
    <w:rsid w:val="266A6121"/>
    <w:rsid w:val="267F5668"/>
    <w:rsid w:val="26A35301"/>
    <w:rsid w:val="26BF6B78"/>
    <w:rsid w:val="26E82A81"/>
    <w:rsid w:val="27611B68"/>
    <w:rsid w:val="277E65BD"/>
    <w:rsid w:val="27AF5297"/>
    <w:rsid w:val="27B01034"/>
    <w:rsid w:val="27B2695C"/>
    <w:rsid w:val="27B44732"/>
    <w:rsid w:val="27CB1A05"/>
    <w:rsid w:val="27F04C45"/>
    <w:rsid w:val="27F46082"/>
    <w:rsid w:val="27FA5F9F"/>
    <w:rsid w:val="28172F24"/>
    <w:rsid w:val="282200AF"/>
    <w:rsid w:val="283408D3"/>
    <w:rsid w:val="283C59C2"/>
    <w:rsid w:val="28467674"/>
    <w:rsid w:val="285064D5"/>
    <w:rsid w:val="285C1DE0"/>
    <w:rsid w:val="28A54C15"/>
    <w:rsid w:val="28C838F3"/>
    <w:rsid w:val="29011F3C"/>
    <w:rsid w:val="290840E3"/>
    <w:rsid w:val="29115E06"/>
    <w:rsid w:val="296C0A83"/>
    <w:rsid w:val="29846EDC"/>
    <w:rsid w:val="29974287"/>
    <w:rsid w:val="299D2E93"/>
    <w:rsid w:val="29B16635"/>
    <w:rsid w:val="2A1844E0"/>
    <w:rsid w:val="2A1F0C07"/>
    <w:rsid w:val="2A3310E0"/>
    <w:rsid w:val="2A3D1A60"/>
    <w:rsid w:val="2A624187"/>
    <w:rsid w:val="2AD20A9A"/>
    <w:rsid w:val="2AE82543"/>
    <w:rsid w:val="2AED793F"/>
    <w:rsid w:val="2B561D9C"/>
    <w:rsid w:val="2B7C561C"/>
    <w:rsid w:val="2B7E747C"/>
    <w:rsid w:val="2B874A48"/>
    <w:rsid w:val="2BB30588"/>
    <w:rsid w:val="2BB9457A"/>
    <w:rsid w:val="2BE22800"/>
    <w:rsid w:val="2BFA7D69"/>
    <w:rsid w:val="2C0C64A1"/>
    <w:rsid w:val="2C2200E9"/>
    <w:rsid w:val="2C351E0C"/>
    <w:rsid w:val="2C8D0D0F"/>
    <w:rsid w:val="2CAC180E"/>
    <w:rsid w:val="2CCD1550"/>
    <w:rsid w:val="2CFC300D"/>
    <w:rsid w:val="2D101AC9"/>
    <w:rsid w:val="2D2F1D51"/>
    <w:rsid w:val="2D37657F"/>
    <w:rsid w:val="2D5A34D0"/>
    <w:rsid w:val="2D77187F"/>
    <w:rsid w:val="2D85521D"/>
    <w:rsid w:val="2D89062D"/>
    <w:rsid w:val="2D891BFE"/>
    <w:rsid w:val="2DCA6ECC"/>
    <w:rsid w:val="2DF17865"/>
    <w:rsid w:val="2E06183C"/>
    <w:rsid w:val="2E3429CF"/>
    <w:rsid w:val="2E451017"/>
    <w:rsid w:val="2F3A75B5"/>
    <w:rsid w:val="2F6C3F71"/>
    <w:rsid w:val="2FA51299"/>
    <w:rsid w:val="2FC26EF0"/>
    <w:rsid w:val="2FF64B62"/>
    <w:rsid w:val="300A1BC6"/>
    <w:rsid w:val="301B1481"/>
    <w:rsid w:val="302F2122"/>
    <w:rsid w:val="303957CD"/>
    <w:rsid w:val="30555EB3"/>
    <w:rsid w:val="306D564B"/>
    <w:rsid w:val="30712346"/>
    <w:rsid w:val="30876D11"/>
    <w:rsid w:val="309077DE"/>
    <w:rsid w:val="30D8786E"/>
    <w:rsid w:val="30F35894"/>
    <w:rsid w:val="310243BD"/>
    <w:rsid w:val="311B0BF2"/>
    <w:rsid w:val="313A6E07"/>
    <w:rsid w:val="31480850"/>
    <w:rsid w:val="316C2398"/>
    <w:rsid w:val="31774051"/>
    <w:rsid w:val="317806E4"/>
    <w:rsid w:val="31A44322"/>
    <w:rsid w:val="31E0747C"/>
    <w:rsid w:val="320C7AB3"/>
    <w:rsid w:val="32394645"/>
    <w:rsid w:val="324D3E5B"/>
    <w:rsid w:val="326C4DB4"/>
    <w:rsid w:val="327827D9"/>
    <w:rsid w:val="328A3C12"/>
    <w:rsid w:val="3304214C"/>
    <w:rsid w:val="33121D46"/>
    <w:rsid w:val="33194D28"/>
    <w:rsid w:val="331E1391"/>
    <w:rsid w:val="33370B5F"/>
    <w:rsid w:val="33573544"/>
    <w:rsid w:val="33803BAD"/>
    <w:rsid w:val="33B27189"/>
    <w:rsid w:val="33D77B09"/>
    <w:rsid w:val="33FC3A12"/>
    <w:rsid w:val="33FE120C"/>
    <w:rsid w:val="340F2AAF"/>
    <w:rsid w:val="34346904"/>
    <w:rsid w:val="343A03B9"/>
    <w:rsid w:val="3441008D"/>
    <w:rsid w:val="34444BD1"/>
    <w:rsid w:val="34732428"/>
    <w:rsid w:val="34772F4B"/>
    <w:rsid w:val="34B91622"/>
    <w:rsid w:val="35284BA2"/>
    <w:rsid w:val="355E32E4"/>
    <w:rsid w:val="356B3BE9"/>
    <w:rsid w:val="35723155"/>
    <w:rsid w:val="357E37F4"/>
    <w:rsid w:val="35C40C61"/>
    <w:rsid w:val="360661B8"/>
    <w:rsid w:val="361A5D03"/>
    <w:rsid w:val="361C5AE4"/>
    <w:rsid w:val="362E438C"/>
    <w:rsid w:val="363D083F"/>
    <w:rsid w:val="36573E57"/>
    <w:rsid w:val="365E0AD7"/>
    <w:rsid w:val="36601835"/>
    <w:rsid w:val="36674175"/>
    <w:rsid w:val="366D54E0"/>
    <w:rsid w:val="36726559"/>
    <w:rsid w:val="36843C95"/>
    <w:rsid w:val="369A62A7"/>
    <w:rsid w:val="36C92F70"/>
    <w:rsid w:val="36D340DE"/>
    <w:rsid w:val="372A6C13"/>
    <w:rsid w:val="37395F90"/>
    <w:rsid w:val="37512C70"/>
    <w:rsid w:val="385E222D"/>
    <w:rsid w:val="388C4E16"/>
    <w:rsid w:val="38AD6866"/>
    <w:rsid w:val="38C515EE"/>
    <w:rsid w:val="39122E0B"/>
    <w:rsid w:val="39727E57"/>
    <w:rsid w:val="399E348C"/>
    <w:rsid w:val="39EC1DA3"/>
    <w:rsid w:val="39F20336"/>
    <w:rsid w:val="3A4E1E6C"/>
    <w:rsid w:val="3A5A7684"/>
    <w:rsid w:val="3A5D2658"/>
    <w:rsid w:val="3A61494C"/>
    <w:rsid w:val="3A722095"/>
    <w:rsid w:val="3AC23843"/>
    <w:rsid w:val="3ACF3E19"/>
    <w:rsid w:val="3AFB781A"/>
    <w:rsid w:val="3B4D7012"/>
    <w:rsid w:val="3B4F6DDC"/>
    <w:rsid w:val="3B836016"/>
    <w:rsid w:val="3BA92961"/>
    <w:rsid w:val="3BAA300D"/>
    <w:rsid w:val="3BC94CA5"/>
    <w:rsid w:val="3BD21823"/>
    <w:rsid w:val="3C144976"/>
    <w:rsid w:val="3C363D7C"/>
    <w:rsid w:val="3C3F1B92"/>
    <w:rsid w:val="3C9512AC"/>
    <w:rsid w:val="3CBD713E"/>
    <w:rsid w:val="3CC47181"/>
    <w:rsid w:val="3CD436CF"/>
    <w:rsid w:val="3CE32C12"/>
    <w:rsid w:val="3CF04B1A"/>
    <w:rsid w:val="3D013A72"/>
    <w:rsid w:val="3D0A1C5B"/>
    <w:rsid w:val="3D496263"/>
    <w:rsid w:val="3DB73896"/>
    <w:rsid w:val="3DE53195"/>
    <w:rsid w:val="3DEA7BD5"/>
    <w:rsid w:val="3E2978B7"/>
    <w:rsid w:val="3E6E7FE0"/>
    <w:rsid w:val="3EBD49E4"/>
    <w:rsid w:val="3F057D64"/>
    <w:rsid w:val="3F115146"/>
    <w:rsid w:val="3F741E00"/>
    <w:rsid w:val="3F820C6D"/>
    <w:rsid w:val="3FB51B2E"/>
    <w:rsid w:val="3FDF30B9"/>
    <w:rsid w:val="3FEB3939"/>
    <w:rsid w:val="3FF07424"/>
    <w:rsid w:val="40051A20"/>
    <w:rsid w:val="4021114F"/>
    <w:rsid w:val="402F2AF8"/>
    <w:rsid w:val="40456F91"/>
    <w:rsid w:val="407E1A01"/>
    <w:rsid w:val="409769B7"/>
    <w:rsid w:val="40AC00C9"/>
    <w:rsid w:val="40F37C38"/>
    <w:rsid w:val="413F72D7"/>
    <w:rsid w:val="41563339"/>
    <w:rsid w:val="417333E5"/>
    <w:rsid w:val="41C503B7"/>
    <w:rsid w:val="41E04486"/>
    <w:rsid w:val="41FE6E61"/>
    <w:rsid w:val="423D72FC"/>
    <w:rsid w:val="42413449"/>
    <w:rsid w:val="4247454B"/>
    <w:rsid w:val="42BD3572"/>
    <w:rsid w:val="436E1270"/>
    <w:rsid w:val="439B26E7"/>
    <w:rsid w:val="43A06275"/>
    <w:rsid w:val="43BF4A0F"/>
    <w:rsid w:val="441D5A85"/>
    <w:rsid w:val="44527962"/>
    <w:rsid w:val="44593212"/>
    <w:rsid w:val="448A61F3"/>
    <w:rsid w:val="44F763A1"/>
    <w:rsid w:val="44F95D32"/>
    <w:rsid w:val="453936D6"/>
    <w:rsid w:val="4578573D"/>
    <w:rsid w:val="458B337D"/>
    <w:rsid w:val="45E2377B"/>
    <w:rsid w:val="46085109"/>
    <w:rsid w:val="466731AD"/>
    <w:rsid w:val="467B090B"/>
    <w:rsid w:val="468B18EE"/>
    <w:rsid w:val="468E3F61"/>
    <w:rsid w:val="469D5FA8"/>
    <w:rsid w:val="46EB2FDD"/>
    <w:rsid w:val="46F35446"/>
    <w:rsid w:val="4712301E"/>
    <w:rsid w:val="47537E35"/>
    <w:rsid w:val="476059B8"/>
    <w:rsid w:val="478A2D26"/>
    <w:rsid w:val="47BC59ED"/>
    <w:rsid w:val="47DC362C"/>
    <w:rsid w:val="47E233FC"/>
    <w:rsid w:val="47E402EC"/>
    <w:rsid w:val="47ED546E"/>
    <w:rsid w:val="4805451C"/>
    <w:rsid w:val="484572DF"/>
    <w:rsid w:val="484E5C18"/>
    <w:rsid w:val="486F5257"/>
    <w:rsid w:val="488D38A6"/>
    <w:rsid w:val="48B77CE0"/>
    <w:rsid w:val="48BA568B"/>
    <w:rsid w:val="48BC2C80"/>
    <w:rsid w:val="48FD3BE5"/>
    <w:rsid w:val="491F2CBC"/>
    <w:rsid w:val="494C227B"/>
    <w:rsid w:val="495054F2"/>
    <w:rsid w:val="4961604F"/>
    <w:rsid w:val="496E3C4A"/>
    <w:rsid w:val="4989280A"/>
    <w:rsid w:val="49D96561"/>
    <w:rsid w:val="49F4047F"/>
    <w:rsid w:val="4A3E3064"/>
    <w:rsid w:val="4A480A1F"/>
    <w:rsid w:val="4A50473E"/>
    <w:rsid w:val="4A5676C5"/>
    <w:rsid w:val="4A8C3A9E"/>
    <w:rsid w:val="4A941F6D"/>
    <w:rsid w:val="4AC360F4"/>
    <w:rsid w:val="4ACE3438"/>
    <w:rsid w:val="4B08477A"/>
    <w:rsid w:val="4B132A51"/>
    <w:rsid w:val="4B3A5B8D"/>
    <w:rsid w:val="4B5C5BE8"/>
    <w:rsid w:val="4B7E2EB9"/>
    <w:rsid w:val="4B7E6FA2"/>
    <w:rsid w:val="4B8D7117"/>
    <w:rsid w:val="4BAC7E75"/>
    <w:rsid w:val="4C1A3E52"/>
    <w:rsid w:val="4C3E3CBE"/>
    <w:rsid w:val="4C734C3F"/>
    <w:rsid w:val="4C7B1CF2"/>
    <w:rsid w:val="4C8B25CF"/>
    <w:rsid w:val="4CA1035C"/>
    <w:rsid w:val="4D037369"/>
    <w:rsid w:val="4D51422B"/>
    <w:rsid w:val="4D6E52AC"/>
    <w:rsid w:val="4D7E17DE"/>
    <w:rsid w:val="4DBA729F"/>
    <w:rsid w:val="4DD23507"/>
    <w:rsid w:val="4DD96A6E"/>
    <w:rsid w:val="4DDD2CB7"/>
    <w:rsid w:val="4DF00E7A"/>
    <w:rsid w:val="4E49793C"/>
    <w:rsid w:val="4E4A139E"/>
    <w:rsid w:val="4E8060AA"/>
    <w:rsid w:val="4EC66922"/>
    <w:rsid w:val="4F3C6CC4"/>
    <w:rsid w:val="4F58325A"/>
    <w:rsid w:val="4F6F4B30"/>
    <w:rsid w:val="4F714DD5"/>
    <w:rsid w:val="4F92346F"/>
    <w:rsid w:val="4F9547EC"/>
    <w:rsid w:val="4FBC5FFE"/>
    <w:rsid w:val="4FD64B70"/>
    <w:rsid w:val="4FFC29CA"/>
    <w:rsid w:val="4FFF0FDF"/>
    <w:rsid w:val="5074648D"/>
    <w:rsid w:val="50903FD1"/>
    <w:rsid w:val="5093753B"/>
    <w:rsid w:val="50C02D0B"/>
    <w:rsid w:val="513A4E7E"/>
    <w:rsid w:val="5148208F"/>
    <w:rsid w:val="51567316"/>
    <w:rsid w:val="519B7DF5"/>
    <w:rsid w:val="51AB6549"/>
    <w:rsid w:val="51E670A1"/>
    <w:rsid w:val="522907FF"/>
    <w:rsid w:val="52374DF3"/>
    <w:rsid w:val="529F2B08"/>
    <w:rsid w:val="52BD0B61"/>
    <w:rsid w:val="52CF5904"/>
    <w:rsid w:val="52D46271"/>
    <w:rsid w:val="532C1420"/>
    <w:rsid w:val="533D3BFA"/>
    <w:rsid w:val="534D3A3B"/>
    <w:rsid w:val="535037DF"/>
    <w:rsid w:val="536315A2"/>
    <w:rsid w:val="53840991"/>
    <w:rsid w:val="539D09A3"/>
    <w:rsid w:val="53BB32F2"/>
    <w:rsid w:val="53F54888"/>
    <w:rsid w:val="54734CED"/>
    <w:rsid w:val="54786246"/>
    <w:rsid w:val="549F7F75"/>
    <w:rsid w:val="54AC3634"/>
    <w:rsid w:val="54BC02F5"/>
    <w:rsid w:val="550A02CF"/>
    <w:rsid w:val="553A7676"/>
    <w:rsid w:val="555F4BE1"/>
    <w:rsid w:val="55935651"/>
    <w:rsid w:val="55944860"/>
    <w:rsid w:val="55AD0B87"/>
    <w:rsid w:val="568963CF"/>
    <w:rsid w:val="56AB1318"/>
    <w:rsid w:val="56E02801"/>
    <w:rsid w:val="56E45B90"/>
    <w:rsid w:val="56E67DBB"/>
    <w:rsid w:val="56FC2BB4"/>
    <w:rsid w:val="573C24D4"/>
    <w:rsid w:val="573D1393"/>
    <w:rsid w:val="57A50064"/>
    <w:rsid w:val="57AD28EF"/>
    <w:rsid w:val="57BD0804"/>
    <w:rsid w:val="57D961F7"/>
    <w:rsid w:val="57EF27DC"/>
    <w:rsid w:val="58140390"/>
    <w:rsid w:val="5853793A"/>
    <w:rsid w:val="58754DC9"/>
    <w:rsid w:val="58892EAF"/>
    <w:rsid w:val="58B146FC"/>
    <w:rsid w:val="58D924DA"/>
    <w:rsid w:val="590D67D5"/>
    <w:rsid w:val="59271254"/>
    <w:rsid w:val="5943066B"/>
    <w:rsid w:val="598F63BF"/>
    <w:rsid w:val="59C30B74"/>
    <w:rsid w:val="5A1A5647"/>
    <w:rsid w:val="5A2E3C2C"/>
    <w:rsid w:val="5A456779"/>
    <w:rsid w:val="5A4F0686"/>
    <w:rsid w:val="5A603DF0"/>
    <w:rsid w:val="5A906F0C"/>
    <w:rsid w:val="5ACF4558"/>
    <w:rsid w:val="5AE972CC"/>
    <w:rsid w:val="5B415CE5"/>
    <w:rsid w:val="5B460B40"/>
    <w:rsid w:val="5B590518"/>
    <w:rsid w:val="5B835E40"/>
    <w:rsid w:val="5B9519A7"/>
    <w:rsid w:val="5BAB433E"/>
    <w:rsid w:val="5BB95DB7"/>
    <w:rsid w:val="5BE51726"/>
    <w:rsid w:val="5BEB1B73"/>
    <w:rsid w:val="5BFE1A45"/>
    <w:rsid w:val="5C1278CF"/>
    <w:rsid w:val="5C207D1C"/>
    <w:rsid w:val="5C504F41"/>
    <w:rsid w:val="5C8B3F62"/>
    <w:rsid w:val="5C91102E"/>
    <w:rsid w:val="5CE84AF5"/>
    <w:rsid w:val="5CF00054"/>
    <w:rsid w:val="5D8365F1"/>
    <w:rsid w:val="5DA254B8"/>
    <w:rsid w:val="5DA90C31"/>
    <w:rsid w:val="5DCB1E65"/>
    <w:rsid w:val="5E652796"/>
    <w:rsid w:val="5E6C264F"/>
    <w:rsid w:val="5E6D0BC1"/>
    <w:rsid w:val="5E876476"/>
    <w:rsid w:val="5E9231C0"/>
    <w:rsid w:val="5E9F7789"/>
    <w:rsid w:val="5EB0424F"/>
    <w:rsid w:val="5EE85AC6"/>
    <w:rsid w:val="5EEF7BE1"/>
    <w:rsid w:val="5EF12D77"/>
    <w:rsid w:val="5F1D261C"/>
    <w:rsid w:val="5F261C7E"/>
    <w:rsid w:val="5F357E41"/>
    <w:rsid w:val="5F4F72E6"/>
    <w:rsid w:val="5FBB65ED"/>
    <w:rsid w:val="5FCC19D2"/>
    <w:rsid w:val="5FE854DB"/>
    <w:rsid w:val="5FF06351"/>
    <w:rsid w:val="60066128"/>
    <w:rsid w:val="601D2A4E"/>
    <w:rsid w:val="605550D1"/>
    <w:rsid w:val="606644D0"/>
    <w:rsid w:val="60AF4DC2"/>
    <w:rsid w:val="60BD7E5F"/>
    <w:rsid w:val="60D30936"/>
    <w:rsid w:val="60E82701"/>
    <w:rsid w:val="615F2A03"/>
    <w:rsid w:val="618B2385"/>
    <w:rsid w:val="61B36B5D"/>
    <w:rsid w:val="61BD041F"/>
    <w:rsid w:val="61CD5B87"/>
    <w:rsid w:val="61D56C64"/>
    <w:rsid w:val="62261666"/>
    <w:rsid w:val="6244537F"/>
    <w:rsid w:val="62A415C0"/>
    <w:rsid w:val="633640A0"/>
    <w:rsid w:val="63494DA8"/>
    <w:rsid w:val="63512CC8"/>
    <w:rsid w:val="63575A7C"/>
    <w:rsid w:val="6364630E"/>
    <w:rsid w:val="636F737C"/>
    <w:rsid w:val="63A77AEA"/>
    <w:rsid w:val="63C24BB2"/>
    <w:rsid w:val="63CB4176"/>
    <w:rsid w:val="6414523B"/>
    <w:rsid w:val="64532715"/>
    <w:rsid w:val="645A5BAC"/>
    <w:rsid w:val="64975011"/>
    <w:rsid w:val="64991050"/>
    <w:rsid w:val="64A70405"/>
    <w:rsid w:val="64EC588B"/>
    <w:rsid w:val="65087D28"/>
    <w:rsid w:val="65145B91"/>
    <w:rsid w:val="653030DE"/>
    <w:rsid w:val="657C419A"/>
    <w:rsid w:val="65927AC3"/>
    <w:rsid w:val="6596061F"/>
    <w:rsid w:val="65A92E20"/>
    <w:rsid w:val="65FF4C5D"/>
    <w:rsid w:val="662E60B4"/>
    <w:rsid w:val="66344B7A"/>
    <w:rsid w:val="66E459E8"/>
    <w:rsid w:val="671342F0"/>
    <w:rsid w:val="67242F48"/>
    <w:rsid w:val="67724F1B"/>
    <w:rsid w:val="678D5B8B"/>
    <w:rsid w:val="679603B5"/>
    <w:rsid w:val="67A15FAD"/>
    <w:rsid w:val="67A71763"/>
    <w:rsid w:val="67CB4B8D"/>
    <w:rsid w:val="680940D9"/>
    <w:rsid w:val="680A7C3F"/>
    <w:rsid w:val="683230C8"/>
    <w:rsid w:val="68544904"/>
    <w:rsid w:val="68661122"/>
    <w:rsid w:val="687C46FE"/>
    <w:rsid w:val="687E19DC"/>
    <w:rsid w:val="68A94CF4"/>
    <w:rsid w:val="68BB07E9"/>
    <w:rsid w:val="68E10A17"/>
    <w:rsid w:val="68E569C7"/>
    <w:rsid w:val="695B2509"/>
    <w:rsid w:val="697A73F4"/>
    <w:rsid w:val="699473D5"/>
    <w:rsid w:val="6A195C4B"/>
    <w:rsid w:val="6A1C3CCB"/>
    <w:rsid w:val="6A374137"/>
    <w:rsid w:val="6A403398"/>
    <w:rsid w:val="6A477FA2"/>
    <w:rsid w:val="6A920661"/>
    <w:rsid w:val="6B032AFA"/>
    <w:rsid w:val="6B2E7CBF"/>
    <w:rsid w:val="6B896A87"/>
    <w:rsid w:val="6C061371"/>
    <w:rsid w:val="6C0E798D"/>
    <w:rsid w:val="6C132ED7"/>
    <w:rsid w:val="6C5067AB"/>
    <w:rsid w:val="6C7D103F"/>
    <w:rsid w:val="6CBB6F22"/>
    <w:rsid w:val="6CCE5747"/>
    <w:rsid w:val="6CE342F0"/>
    <w:rsid w:val="6CEF1131"/>
    <w:rsid w:val="6CFF6351"/>
    <w:rsid w:val="6D121F80"/>
    <w:rsid w:val="6D1B4998"/>
    <w:rsid w:val="6D262FA0"/>
    <w:rsid w:val="6D4B35C9"/>
    <w:rsid w:val="6D5A75C3"/>
    <w:rsid w:val="6D5C4743"/>
    <w:rsid w:val="6D983849"/>
    <w:rsid w:val="6D9D5078"/>
    <w:rsid w:val="6DA526F0"/>
    <w:rsid w:val="6E3518B7"/>
    <w:rsid w:val="6E4E22DE"/>
    <w:rsid w:val="6E6477B0"/>
    <w:rsid w:val="6E6A7686"/>
    <w:rsid w:val="6E9557F2"/>
    <w:rsid w:val="6EA55554"/>
    <w:rsid w:val="6EAE21EA"/>
    <w:rsid w:val="6F24778D"/>
    <w:rsid w:val="6F3A06A3"/>
    <w:rsid w:val="6F996CC6"/>
    <w:rsid w:val="6FA77144"/>
    <w:rsid w:val="703B4816"/>
    <w:rsid w:val="70576140"/>
    <w:rsid w:val="705A1402"/>
    <w:rsid w:val="7085410F"/>
    <w:rsid w:val="708E55A3"/>
    <w:rsid w:val="70980188"/>
    <w:rsid w:val="70A91C9E"/>
    <w:rsid w:val="70BA3C5B"/>
    <w:rsid w:val="70E91DAF"/>
    <w:rsid w:val="711F465A"/>
    <w:rsid w:val="71753DE4"/>
    <w:rsid w:val="71846352"/>
    <w:rsid w:val="7197585A"/>
    <w:rsid w:val="719D7896"/>
    <w:rsid w:val="71B72ED4"/>
    <w:rsid w:val="71F16786"/>
    <w:rsid w:val="723E3BF4"/>
    <w:rsid w:val="72452792"/>
    <w:rsid w:val="7251401A"/>
    <w:rsid w:val="725940C2"/>
    <w:rsid w:val="727521A3"/>
    <w:rsid w:val="729208EB"/>
    <w:rsid w:val="72DF508C"/>
    <w:rsid w:val="73527FFE"/>
    <w:rsid w:val="73B1655C"/>
    <w:rsid w:val="73F97E44"/>
    <w:rsid w:val="74197843"/>
    <w:rsid w:val="74351828"/>
    <w:rsid w:val="746C5241"/>
    <w:rsid w:val="74960E48"/>
    <w:rsid w:val="74AD0068"/>
    <w:rsid w:val="75215271"/>
    <w:rsid w:val="75232208"/>
    <w:rsid w:val="752F1AA1"/>
    <w:rsid w:val="754E0806"/>
    <w:rsid w:val="7556718C"/>
    <w:rsid w:val="7591052F"/>
    <w:rsid w:val="75B8038F"/>
    <w:rsid w:val="75C4725E"/>
    <w:rsid w:val="761E0400"/>
    <w:rsid w:val="76295E86"/>
    <w:rsid w:val="767937B1"/>
    <w:rsid w:val="76BF5CE1"/>
    <w:rsid w:val="76DA2ED4"/>
    <w:rsid w:val="778F027E"/>
    <w:rsid w:val="779A6483"/>
    <w:rsid w:val="77A539EB"/>
    <w:rsid w:val="77AA6A66"/>
    <w:rsid w:val="77C32EC7"/>
    <w:rsid w:val="77EF5AEB"/>
    <w:rsid w:val="78206CF7"/>
    <w:rsid w:val="78281B74"/>
    <w:rsid w:val="78550E30"/>
    <w:rsid w:val="7857138D"/>
    <w:rsid w:val="785D2EDA"/>
    <w:rsid w:val="78771137"/>
    <w:rsid w:val="790740FD"/>
    <w:rsid w:val="79147CF0"/>
    <w:rsid w:val="791A4A90"/>
    <w:rsid w:val="794D2DA3"/>
    <w:rsid w:val="794F1803"/>
    <w:rsid w:val="795A3EE3"/>
    <w:rsid w:val="79A929BE"/>
    <w:rsid w:val="79B67B89"/>
    <w:rsid w:val="79CF4331"/>
    <w:rsid w:val="7A023287"/>
    <w:rsid w:val="7A513A86"/>
    <w:rsid w:val="7A552423"/>
    <w:rsid w:val="7A79254C"/>
    <w:rsid w:val="7AAB14ED"/>
    <w:rsid w:val="7ADF6FF4"/>
    <w:rsid w:val="7B075653"/>
    <w:rsid w:val="7B12497C"/>
    <w:rsid w:val="7B3D31F8"/>
    <w:rsid w:val="7B512256"/>
    <w:rsid w:val="7B60448D"/>
    <w:rsid w:val="7B7E1521"/>
    <w:rsid w:val="7B834CCC"/>
    <w:rsid w:val="7B84576B"/>
    <w:rsid w:val="7BBC3EA7"/>
    <w:rsid w:val="7BCB2C0F"/>
    <w:rsid w:val="7BDB07A9"/>
    <w:rsid w:val="7BE01CAA"/>
    <w:rsid w:val="7C027585"/>
    <w:rsid w:val="7C7D40DA"/>
    <w:rsid w:val="7C8E36B5"/>
    <w:rsid w:val="7C922EF2"/>
    <w:rsid w:val="7C9A3EA1"/>
    <w:rsid w:val="7CD27460"/>
    <w:rsid w:val="7CF64F0E"/>
    <w:rsid w:val="7D1261C0"/>
    <w:rsid w:val="7D43210F"/>
    <w:rsid w:val="7D571558"/>
    <w:rsid w:val="7D9A7E63"/>
    <w:rsid w:val="7DC61E29"/>
    <w:rsid w:val="7DD16479"/>
    <w:rsid w:val="7DE36CAE"/>
    <w:rsid w:val="7E0E39C8"/>
    <w:rsid w:val="7E22639B"/>
    <w:rsid w:val="7E2B2B19"/>
    <w:rsid w:val="7E665CDF"/>
    <w:rsid w:val="7E842C96"/>
    <w:rsid w:val="7EA11A6A"/>
    <w:rsid w:val="7EB317E3"/>
    <w:rsid w:val="7ED10B4F"/>
    <w:rsid w:val="7ED651ED"/>
    <w:rsid w:val="7F1714DA"/>
    <w:rsid w:val="7F264BB1"/>
    <w:rsid w:val="7F4314F2"/>
    <w:rsid w:val="7F496E05"/>
    <w:rsid w:val="7F6A2CF0"/>
    <w:rsid w:val="7F8715D2"/>
    <w:rsid w:val="7FB97E0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Lines="100" w:afterLines="100" w:line="360" w:lineRule="auto"/>
      <w:outlineLvl w:val="0"/>
    </w:pPr>
    <w:rPr>
      <w:rFonts w:ascii="Calibri" w:hAnsi="Calibri"/>
      <w:b/>
      <w:kern w:val="0"/>
      <w:sz w:val="32"/>
      <w:szCs w:val="20"/>
    </w:rPr>
  </w:style>
  <w:style w:type="paragraph" w:styleId="4">
    <w:name w:val="heading 2"/>
    <w:basedOn w:val="1"/>
    <w:next w:val="1"/>
    <w:link w:val="23"/>
    <w:qFormat/>
    <w:uiPriority w:val="99"/>
    <w:pPr>
      <w:keepNext/>
      <w:keepLines/>
      <w:spacing w:beforeLines="100" w:line="360" w:lineRule="auto"/>
      <w:outlineLvl w:val="1"/>
    </w:pPr>
    <w:rPr>
      <w:rFonts w:ascii="Arial" w:hAnsi="Arial"/>
      <w:kern w:val="0"/>
      <w:sz w:val="28"/>
      <w:szCs w:val="20"/>
    </w:rPr>
  </w:style>
  <w:style w:type="paragraph" w:styleId="5">
    <w:name w:val="heading 3"/>
    <w:basedOn w:val="1"/>
    <w:next w:val="1"/>
    <w:link w:val="24"/>
    <w:qFormat/>
    <w:uiPriority w:val="99"/>
    <w:pPr>
      <w:keepNext/>
      <w:keepLines/>
      <w:spacing w:before="260" w:after="260" w:line="413" w:lineRule="auto"/>
      <w:outlineLvl w:val="2"/>
    </w:pPr>
    <w:rPr>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_Style 3"/>
    <w:qFormat/>
    <w:uiPriority w:val="0"/>
    <w:pPr>
      <w:widowControl w:val="0"/>
      <w:jc w:val="both"/>
    </w:pPr>
    <w:rPr>
      <w:rFonts w:ascii="Calibri" w:hAnsi="Calibri" w:eastAsia="宋体" w:cs="Times New Roman"/>
      <w:kern w:val="2"/>
      <w:sz w:val="21"/>
      <w:szCs w:val="22"/>
      <w:lang w:val="en-US" w:eastAsia="zh-CN" w:bidi="ar-SA"/>
    </w:rPr>
  </w:style>
  <w:style w:type="paragraph" w:styleId="6">
    <w:name w:val="annotation text"/>
    <w:basedOn w:val="1"/>
    <w:link w:val="26"/>
    <w:qFormat/>
    <w:uiPriority w:val="99"/>
    <w:pPr>
      <w:jc w:val="left"/>
    </w:pPr>
  </w:style>
  <w:style w:type="paragraph" w:styleId="7">
    <w:name w:val="Body Text"/>
    <w:basedOn w:val="1"/>
    <w:link w:val="27"/>
    <w:qFormat/>
    <w:uiPriority w:val="99"/>
    <w:pPr>
      <w:ind w:left="1960"/>
    </w:pPr>
    <w:rPr>
      <w:rFonts w:ascii="PMingLiU" w:hAnsi="PMingLiU" w:eastAsia="PMingLiU" w:cs="PMingLiU"/>
      <w:sz w:val="42"/>
      <w:szCs w:val="42"/>
      <w:lang w:val="zh-CN"/>
    </w:rPr>
  </w:style>
  <w:style w:type="paragraph" w:styleId="8">
    <w:name w:val="toc 3"/>
    <w:basedOn w:val="1"/>
    <w:next w:val="1"/>
    <w:semiHidden/>
    <w:unhideWhenUsed/>
    <w:qFormat/>
    <w:uiPriority w:val="39"/>
    <w:pPr>
      <w:ind w:left="840" w:leftChars="400"/>
    </w:pPr>
  </w:style>
  <w:style w:type="paragraph" w:styleId="9">
    <w:name w:val="Date"/>
    <w:basedOn w:val="1"/>
    <w:next w:val="1"/>
    <w:link w:val="28"/>
    <w:qFormat/>
    <w:uiPriority w:val="99"/>
    <w:pPr>
      <w:ind w:left="100" w:leftChars="2500"/>
    </w:pPr>
  </w:style>
  <w:style w:type="paragraph" w:styleId="10">
    <w:name w:val="Body Text Indent 2"/>
    <w:basedOn w:val="1"/>
    <w:link w:val="25"/>
    <w:qFormat/>
    <w:uiPriority w:val="99"/>
    <w:pPr>
      <w:spacing w:after="120" w:line="480" w:lineRule="auto"/>
      <w:ind w:left="420" w:leftChars="200"/>
    </w:pPr>
  </w:style>
  <w:style w:type="paragraph" w:styleId="11">
    <w:name w:val="Balloon Text"/>
    <w:basedOn w:val="1"/>
    <w:link w:val="29"/>
    <w:qFormat/>
    <w:uiPriority w:val="99"/>
    <w:rPr>
      <w:sz w:val="18"/>
      <w:szCs w:val="18"/>
    </w:rPr>
  </w:style>
  <w:style w:type="paragraph" w:styleId="12">
    <w:name w:val="footer"/>
    <w:basedOn w:val="1"/>
    <w:link w:val="30"/>
    <w:qFormat/>
    <w:uiPriority w:val="99"/>
    <w:pPr>
      <w:tabs>
        <w:tab w:val="center" w:pos="4153"/>
        <w:tab w:val="right" w:pos="8306"/>
      </w:tabs>
      <w:snapToGrid w:val="0"/>
      <w:jc w:val="left"/>
    </w:pPr>
    <w:rPr>
      <w:sz w:val="18"/>
    </w:rPr>
  </w:style>
  <w:style w:type="paragraph" w:styleId="13">
    <w:name w:val="header"/>
    <w:basedOn w:val="1"/>
    <w:link w:val="3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39"/>
    <w:rPr>
      <w:b/>
    </w:rPr>
  </w:style>
  <w:style w:type="paragraph" w:styleId="15">
    <w:name w:val="toc 2"/>
    <w:basedOn w:val="1"/>
    <w:next w:val="1"/>
    <w:qFormat/>
    <w:uiPriority w:val="39"/>
    <w:pPr>
      <w:ind w:left="420" w:leftChars="200"/>
    </w:p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w:basedOn w:val="7"/>
    <w:link w:val="32"/>
    <w:qFormat/>
    <w:uiPriority w:val="99"/>
    <w:pPr>
      <w:ind w:firstLine="420" w:firstLineChars="100"/>
    </w:p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rFonts w:cs="Times New Roman"/>
      <w:color w:val="0563C1"/>
      <w:u w:val="single"/>
    </w:rPr>
  </w:style>
  <w:style w:type="character" w:customStyle="1" w:styleId="22">
    <w:name w:val="标题 1 字符"/>
    <w:link w:val="3"/>
    <w:qFormat/>
    <w:locked/>
    <w:uiPriority w:val="99"/>
    <w:rPr>
      <w:rFonts w:ascii="Calibri" w:hAnsi="Calibri" w:eastAsia="宋体"/>
      <w:b/>
      <w:kern w:val="0"/>
      <w:sz w:val="32"/>
    </w:rPr>
  </w:style>
  <w:style w:type="character" w:customStyle="1" w:styleId="23">
    <w:name w:val="标题 2 字符"/>
    <w:link w:val="4"/>
    <w:qFormat/>
    <w:locked/>
    <w:uiPriority w:val="99"/>
    <w:rPr>
      <w:rFonts w:ascii="Arial" w:hAnsi="Arial" w:eastAsia="宋体"/>
      <w:sz w:val="28"/>
    </w:rPr>
  </w:style>
  <w:style w:type="character" w:customStyle="1" w:styleId="24">
    <w:name w:val="标题 3 字符"/>
    <w:link w:val="5"/>
    <w:semiHidden/>
    <w:qFormat/>
    <w:uiPriority w:val="9"/>
    <w:rPr>
      <w:rFonts w:ascii="Times New Roman" w:hAnsi="Times New Roman"/>
      <w:b/>
      <w:bCs/>
      <w:sz w:val="32"/>
      <w:szCs w:val="32"/>
    </w:rPr>
  </w:style>
  <w:style w:type="character" w:customStyle="1" w:styleId="25">
    <w:name w:val="正文文本缩进 2 字符"/>
    <w:link w:val="10"/>
    <w:semiHidden/>
    <w:qFormat/>
    <w:uiPriority w:val="99"/>
    <w:rPr>
      <w:rFonts w:ascii="Times New Roman" w:hAnsi="Times New Roman"/>
      <w:szCs w:val="24"/>
    </w:rPr>
  </w:style>
  <w:style w:type="character" w:customStyle="1" w:styleId="26">
    <w:name w:val="批注文字 字符"/>
    <w:link w:val="6"/>
    <w:semiHidden/>
    <w:qFormat/>
    <w:uiPriority w:val="99"/>
    <w:rPr>
      <w:rFonts w:ascii="Times New Roman" w:hAnsi="Times New Roman"/>
      <w:szCs w:val="24"/>
    </w:rPr>
  </w:style>
  <w:style w:type="character" w:customStyle="1" w:styleId="27">
    <w:name w:val="正文文本 字符"/>
    <w:link w:val="7"/>
    <w:semiHidden/>
    <w:qFormat/>
    <w:uiPriority w:val="99"/>
    <w:rPr>
      <w:rFonts w:ascii="Times New Roman" w:hAnsi="Times New Roman"/>
      <w:szCs w:val="24"/>
    </w:rPr>
  </w:style>
  <w:style w:type="character" w:customStyle="1" w:styleId="28">
    <w:name w:val="日期 字符"/>
    <w:link w:val="9"/>
    <w:qFormat/>
    <w:locked/>
    <w:uiPriority w:val="99"/>
    <w:rPr>
      <w:rFonts w:eastAsia="宋体" w:cs="Times New Roman"/>
      <w:kern w:val="2"/>
      <w:sz w:val="24"/>
      <w:szCs w:val="24"/>
    </w:rPr>
  </w:style>
  <w:style w:type="character" w:customStyle="1" w:styleId="29">
    <w:name w:val="批注框文本 字符"/>
    <w:link w:val="11"/>
    <w:qFormat/>
    <w:locked/>
    <w:uiPriority w:val="99"/>
    <w:rPr>
      <w:rFonts w:eastAsia="宋体" w:cs="Times New Roman"/>
      <w:kern w:val="2"/>
      <w:sz w:val="18"/>
      <w:szCs w:val="18"/>
    </w:rPr>
  </w:style>
  <w:style w:type="character" w:customStyle="1" w:styleId="30">
    <w:name w:val="页脚 字符"/>
    <w:link w:val="12"/>
    <w:qFormat/>
    <w:uiPriority w:val="99"/>
    <w:rPr>
      <w:rFonts w:ascii="Times New Roman" w:hAnsi="Times New Roman"/>
      <w:sz w:val="18"/>
      <w:szCs w:val="18"/>
    </w:rPr>
  </w:style>
  <w:style w:type="character" w:customStyle="1" w:styleId="31">
    <w:name w:val="页眉 字符"/>
    <w:link w:val="13"/>
    <w:semiHidden/>
    <w:qFormat/>
    <w:uiPriority w:val="99"/>
    <w:rPr>
      <w:rFonts w:ascii="Times New Roman" w:hAnsi="Times New Roman"/>
      <w:sz w:val="18"/>
      <w:szCs w:val="18"/>
    </w:rPr>
  </w:style>
  <w:style w:type="character" w:customStyle="1" w:styleId="32">
    <w:name w:val="正文文本首行缩进 字符"/>
    <w:link w:val="17"/>
    <w:semiHidden/>
    <w:qFormat/>
    <w:uiPriority w:val="99"/>
    <w:rPr>
      <w:rFonts w:ascii="Times New Roman" w:hAnsi="Times New Roman"/>
      <w:szCs w:val="24"/>
    </w:rPr>
  </w:style>
  <w:style w:type="paragraph" w:styleId="33">
    <w:name w:val="List Paragraph"/>
    <w:basedOn w:val="1"/>
    <w:qFormat/>
    <w:uiPriority w:val="99"/>
    <w:pPr>
      <w:ind w:left="3460" w:hanging="620"/>
    </w:pPr>
    <w:rPr>
      <w:rFonts w:ascii="PMingLiU" w:hAnsi="PMingLiU" w:eastAsia="PMingLiU" w:cs="PMingLiU"/>
      <w:lang w:val="zh-CN"/>
    </w:rPr>
  </w:style>
  <w:style w:type="paragraph" w:customStyle="1" w:styleId="34">
    <w:name w:val="p0"/>
    <w:basedOn w:val="1"/>
    <w:qFormat/>
    <w:uiPriority w:val="99"/>
    <w:pPr>
      <w:widowControl/>
    </w:pPr>
    <w:rPr>
      <w:kern w:val="0"/>
      <w:szCs w:val="21"/>
    </w:rPr>
  </w:style>
  <w:style w:type="paragraph" w:customStyle="1" w:styleId="35">
    <w:name w:val="WPSOffice手动目录 1"/>
    <w:qFormat/>
    <w:uiPriority w:val="99"/>
    <w:rPr>
      <w:rFonts w:ascii="Calibri" w:hAnsi="Calibri" w:eastAsia="宋体" w:cs="Times New Roman"/>
      <w:lang w:val="en-US" w:eastAsia="zh-CN" w:bidi="ar-SA"/>
    </w:rPr>
  </w:style>
  <w:style w:type="paragraph" w:customStyle="1" w:styleId="36">
    <w:name w:val="WPSOffice手动目录 2"/>
    <w:qFormat/>
    <w:uiPriority w:val="99"/>
    <w:pPr>
      <w:ind w:left="200" w:leftChars="200"/>
    </w:pPr>
    <w:rPr>
      <w:rFonts w:ascii="Calibri" w:hAnsi="Calibri" w:eastAsia="宋体" w:cs="Times New Roman"/>
      <w:lang w:val="en-US" w:eastAsia="zh-CN" w:bidi="ar-SA"/>
    </w:rPr>
  </w:style>
  <w:style w:type="paragraph" w:customStyle="1" w:styleId="37">
    <w:name w:val="WPSOffice手动目录 3"/>
    <w:qFormat/>
    <w:uiPriority w:val="99"/>
    <w:pPr>
      <w:ind w:left="400" w:leftChars="400"/>
    </w:pPr>
    <w:rPr>
      <w:rFonts w:ascii="Calibri" w:hAnsi="Calibri" w:eastAsia="宋体" w:cs="Times New Roman"/>
      <w:lang w:val="en-US" w:eastAsia="zh-CN" w:bidi="ar-SA"/>
    </w:rPr>
  </w:style>
  <w:style w:type="paragraph" w:customStyle="1" w:styleId="38">
    <w:name w:val="款编号"/>
    <w:basedOn w:val="1"/>
    <w:qFormat/>
    <w:uiPriority w:val="99"/>
    <w:pPr>
      <w:adjustRightInd w:val="0"/>
      <w:snapToGrid w:val="0"/>
      <w:spacing w:line="440" w:lineRule="atLeast"/>
      <w:ind w:firstLine="200" w:firstLineChars="200"/>
      <w:jc w:val="left"/>
    </w:pPr>
    <w:rPr>
      <w:rFonts w:ascii="黑体" w:hAnsi="宋体" w:eastAsia="黑体"/>
      <w:bCs/>
      <w:sz w:val="24"/>
    </w:rPr>
  </w:style>
  <w:style w:type="table" w:customStyle="1" w:styleId="39">
    <w:name w:val="Table Normal"/>
    <w:semiHidden/>
    <w:unhideWhenUsed/>
    <w:qFormat/>
    <w:uiPriority w:val="0"/>
    <w:tblPr>
      <w:tblCellMar>
        <w:top w:w="0" w:type="dxa"/>
        <w:left w:w="0" w:type="dxa"/>
        <w:bottom w:w="0" w:type="dxa"/>
        <w:right w:w="0" w:type="dxa"/>
      </w:tblCellMar>
    </w:tblPr>
  </w:style>
  <w:style w:type="paragraph" w:customStyle="1" w:styleId="40">
    <w:name w:val="Table Text"/>
    <w:basedOn w:val="1"/>
    <w:semiHidden/>
    <w:qFormat/>
    <w:uiPriority w:val="0"/>
    <w:rPr>
      <w:rFonts w:ascii="Arial" w:hAnsi="Arial" w:eastAsia="Arial" w:cs="Arial"/>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jpeg"/><Relationship Id="rId17" Type="http://schemas.openxmlformats.org/officeDocument/2006/relationships/image" Target="media/image6.jpeg"/><Relationship Id="rId16" Type="http://schemas.openxmlformats.org/officeDocument/2006/relationships/image" Target="media/image5.jpeg"/><Relationship Id="rId15" Type="http://schemas.openxmlformats.org/officeDocument/2006/relationships/image" Target="media/image4.pn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3280</Words>
  <Characters>3332</Characters>
  <Lines>565</Lines>
  <Paragraphs>844</Paragraphs>
  <TotalTime>0</TotalTime>
  <ScaleCrop>false</ScaleCrop>
  <LinksUpToDate>false</LinksUpToDate>
  <CharactersWithSpaces>3372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2019-10-13T10:52:00Z</dcterms:created>
  <dc:creator>Administrator</dc:creator>
  <cp:lastModifiedBy>随风而去</cp:lastModifiedBy>
  <cp:lastPrinted>2021-07-22T07:11:00Z</cp:lastPrinted>
  <dcterms:modified xsi:type="dcterms:W3CDTF">2025-07-23T04:30:08Z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66BE02484DEA4AC983902088E600C48A</vt:lpwstr>
  </property>
  <property fmtid="{D5CDD505-2E9C-101B-9397-08002B2CF9AE}" pid="4" name="KSOTemplateDocerSaveRecord">
    <vt:lpwstr>eyJoZGlkIjoiN2E4MzU1YzUzNTY4M2I5NmM0NmRiZjIzMjRiMjc1MzMiLCJ1c2VySWQiOiIzMjE3NDA3OTgifQ==</vt:lpwstr>
  </property>
</Properties>
</file>