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FEFA25C">
      <w:pPr>
        <w:pStyle w:val="7"/>
        <w:numPr>
          <w:ilvl w:val="0"/>
          <w:numId w:val="0"/>
        </w:numPr>
        <w:kinsoku w:val="0"/>
        <w:overflowPunct w:val="0"/>
        <w:spacing w:line="360" w:lineRule="auto"/>
        <w:ind w:left="400"/>
        <w:rPr>
          <w:rFonts w:hint="eastAsia" w:ascii="Times New Roman" w:hAnsi="Times New Roman" w:eastAsia="Times New Roman"/>
          <w:sz w:val="20"/>
          <w:szCs w:val="24"/>
        </w:rPr>
      </w:pPr>
      <w:bookmarkStart w:id="125" w:name="_GoBack"/>
      <w:bookmarkEnd w:id="125"/>
    </w:p>
    <w:p w14:paraId="0EDFF987">
      <w:pPr>
        <w:pStyle w:val="7"/>
        <w:kinsoku w:val="0"/>
        <w:overflowPunct w:val="0"/>
        <w:spacing w:line="360" w:lineRule="auto"/>
        <w:rPr>
          <w:rFonts w:hint="eastAsia" w:ascii="Times New Roman" w:hAnsi="Times New Roman" w:eastAsia="Times New Roman"/>
          <w:sz w:val="21"/>
          <w:szCs w:val="24"/>
        </w:rPr>
      </w:pPr>
    </w:p>
    <w:p w14:paraId="0B537820">
      <w:pPr>
        <w:pStyle w:val="7"/>
        <w:numPr>
          <w:ilvl w:val="0"/>
          <w:numId w:val="0"/>
        </w:numPr>
        <w:adjustRightInd/>
        <w:spacing w:before="313" w:beforeLines="100" w:after="313" w:afterLines="100"/>
        <w:jc w:val="center"/>
        <w:rPr>
          <w:rFonts w:hint="default" w:cs="宋体"/>
          <w:b/>
          <w:sz w:val="44"/>
          <w:szCs w:val="44"/>
          <w:lang w:val="en-US" w:eastAsia="zh-CN"/>
        </w:rPr>
      </w:pPr>
      <w:r>
        <w:rPr>
          <w:rFonts w:hint="default" w:cs="宋体"/>
          <w:b/>
          <w:sz w:val="44"/>
          <w:szCs w:val="44"/>
          <w:lang w:val="en-US" w:eastAsia="zh-CN"/>
        </w:rPr>
        <w:t>第五届晋城职业技能大赛暨</w:t>
      </w:r>
    </w:p>
    <w:p w14:paraId="2AB978CA">
      <w:pPr>
        <w:pStyle w:val="7"/>
        <w:numPr>
          <w:ilvl w:val="0"/>
          <w:numId w:val="0"/>
        </w:numPr>
        <w:adjustRightInd/>
        <w:spacing w:before="313" w:beforeLines="100" w:after="313" w:afterLines="100"/>
        <w:jc w:val="center"/>
        <w:rPr>
          <w:rFonts w:hint="default" w:cs="宋体"/>
          <w:b/>
          <w:color w:val="FF0000"/>
          <w:spacing w:val="-6"/>
          <w:sz w:val="44"/>
          <w:szCs w:val="44"/>
        </w:rPr>
      </w:pPr>
      <w:r>
        <w:rPr>
          <w:rFonts w:hint="default" w:cs="宋体"/>
          <w:b/>
          <w:sz w:val="44"/>
          <w:szCs w:val="44"/>
          <w:lang w:val="en-US" w:eastAsia="zh-CN"/>
        </w:rPr>
        <w:t>第七届职工职业技能大赛</w:t>
      </w:r>
    </w:p>
    <w:p w14:paraId="3EDCFAB1">
      <w:pPr>
        <w:autoSpaceDE/>
        <w:autoSpaceDN/>
        <w:snapToGrid w:val="0"/>
        <w:jc w:val="center"/>
        <w:rPr>
          <w:rFonts w:hint="default" w:cs="宋体"/>
          <w:b/>
          <w:spacing w:val="-6"/>
          <w:sz w:val="44"/>
          <w:szCs w:val="44"/>
        </w:rPr>
      </w:pPr>
      <w:r>
        <w:rPr>
          <w:rFonts w:hint="default" w:cs="宋体"/>
          <w:b/>
          <w:sz w:val="44"/>
          <w:szCs w:val="44"/>
          <w:lang w:val="en-US" w:eastAsia="zh-CN"/>
        </w:rPr>
        <w:t>机电一体化</w:t>
      </w:r>
      <w:r>
        <w:rPr>
          <w:rFonts w:hint="default" w:cs="宋体"/>
          <w:b/>
          <w:spacing w:val="-6"/>
          <w:sz w:val="44"/>
          <w:szCs w:val="44"/>
        </w:rPr>
        <w:t>项目</w:t>
      </w:r>
    </w:p>
    <w:p w14:paraId="4B44C67A">
      <w:pPr>
        <w:autoSpaceDE/>
        <w:autoSpaceDN/>
        <w:snapToGrid w:val="0"/>
        <w:jc w:val="center"/>
        <w:rPr>
          <w:rFonts w:hint="default" w:cs="宋体"/>
          <w:b/>
          <w:spacing w:val="-6"/>
          <w:sz w:val="44"/>
          <w:szCs w:val="44"/>
        </w:rPr>
      </w:pPr>
    </w:p>
    <w:p w14:paraId="77AD4306">
      <w:pPr>
        <w:autoSpaceDE/>
        <w:autoSpaceDN/>
        <w:snapToGrid w:val="0"/>
        <w:jc w:val="center"/>
        <w:rPr>
          <w:rFonts w:hint="default" w:cs="宋体"/>
          <w:b/>
          <w:spacing w:val="-6"/>
          <w:sz w:val="44"/>
          <w:szCs w:val="44"/>
        </w:rPr>
      </w:pPr>
      <w:r>
        <w:rPr>
          <w:rFonts w:hint="default" w:cs="宋体"/>
          <w:b/>
          <w:spacing w:val="-6"/>
          <w:sz w:val="44"/>
          <w:szCs w:val="44"/>
        </w:rPr>
        <w:t>技</w:t>
      </w:r>
    </w:p>
    <w:p w14:paraId="64C1EC68">
      <w:pPr>
        <w:autoSpaceDE/>
        <w:autoSpaceDN/>
        <w:snapToGrid w:val="0"/>
        <w:jc w:val="center"/>
        <w:rPr>
          <w:rFonts w:hint="default" w:cs="宋体"/>
          <w:b/>
          <w:spacing w:val="-6"/>
          <w:sz w:val="44"/>
          <w:szCs w:val="44"/>
        </w:rPr>
      </w:pPr>
      <w:r>
        <w:rPr>
          <w:rFonts w:hint="default" w:cs="宋体"/>
          <w:b/>
          <w:spacing w:val="-6"/>
          <w:sz w:val="44"/>
          <w:szCs w:val="44"/>
        </w:rPr>
        <w:t>术</w:t>
      </w:r>
    </w:p>
    <w:p w14:paraId="62F0CBC1">
      <w:pPr>
        <w:autoSpaceDE/>
        <w:autoSpaceDN/>
        <w:snapToGrid w:val="0"/>
        <w:jc w:val="center"/>
        <w:rPr>
          <w:rFonts w:hint="default" w:cs="宋体"/>
          <w:b/>
          <w:spacing w:val="-6"/>
          <w:sz w:val="44"/>
          <w:szCs w:val="44"/>
        </w:rPr>
      </w:pPr>
      <w:r>
        <w:rPr>
          <w:rFonts w:hint="default" w:cs="宋体"/>
          <w:b/>
          <w:spacing w:val="-6"/>
          <w:sz w:val="44"/>
          <w:szCs w:val="44"/>
        </w:rPr>
        <w:t>文</w:t>
      </w:r>
    </w:p>
    <w:p w14:paraId="51B85249">
      <w:pPr>
        <w:autoSpaceDE/>
        <w:autoSpaceDN/>
        <w:snapToGrid w:val="0"/>
        <w:jc w:val="center"/>
        <w:rPr>
          <w:rFonts w:hint="default" w:cs="宋体"/>
          <w:b/>
          <w:spacing w:val="-6"/>
          <w:sz w:val="44"/>
          <w:szCs w:val="44"/>
        </w:rPr>
      </w:pPr>
      <w:r>
        <w:rPr>
          <w:rFonts w:hint="default" w:cs="宋体"/>
          <w:b/>
          <w:spacing w:val="-6"/>
          <w:sz w:val="44"/>
          <w:szCs w:val="44"/>
        </w:rPr>
        <w:t>件</w:t>
      </w:r>
    </w:p>
    <w:p w14:paraId="1D0D256F">
      <w:pPr>
        <w:autoSpaceDE/>
        <w:autoSpaceDN/>
        <w:snapToGrid w:val="0"/>
        <w:jc w:val="center"/>
        <w:rPr>
          <w:rFonts w:hint="eastAsia" w:ascii="华文中宋" w:hAnsi="华文中宋" w:eastAsia="华文中宋" w:cs="华文中宋"/>
          <w:b/>
          <w:spacing w:val="-6"/>
          <w:sz w:val="52"/>
          <w:szCs w:val="52"/>
        </w:rPr>
      </w:pPr>
    </w:p>
    <w:p w14:paraId="0E0A7153">
      <w:pPr>
        <w:pStyle w:val="14"/>
        <w:autoSpaceDE/>
        <w:autoSpaceDN/>
        <w:snapToGrid w:val="0"/>
        <w:ind w:firstLine="0" w:firstLineChars="0"/>
        <w:rPr>
          <w:rFonts w:hint="default"/>
          <w:b/>
          <w:spacing w:val="-6"/>
          <w:sz w:val="44"/>
          <w:szCs w:val="24"/>
        </w:rPr>
      </w:pPr>
    </w:p>
    <w:p w14:paraId="31508D52">
      <w:pPr>
        <w:autoSpaceDE/>
        <w:autoSpaceDN/>
        <w:snapToGrid w:val="0"/>
        <w:jc w:val="center"/>
        <w:rPr>
          <w:rFonts w:hint="default"/>
          <w:b/>
          <w:spacing w:val="-6"/>
          <w:sz w:val="32"/>
          <w:szCs w:val="24"/>
          <w:u w:val="single"/>
        </w:rPr>
      </w:pPr>
    </w:p>
    <w:p w14:paraId="278D6115">
      <w:pPr>
        <w:autoSpaceDE/>
        <w:autoSpaceDN/>
        <w:snapToGrid w:val="0"/>
        <w:jc w:val="center"/>
        <w:rPr>
          <w:rFonts w:hint="default"/>
          <w:b/>
          <w:color w:val="FF0000"/>
          <w:spacing w:val="-6"/>
          <w:sz w:val="36"/>
          <w:szCs w:val="24"/>
        </w:rPr>
      </w:pPr>
    </w:p>
    <w:p w14:paraId="60EA92A9">
      <w:pPr>
        <w:autoSpaceDE/>
        <w:autoSpaceDN/>
        <w:snapToGrid w:val="0"/>
        <w:jc w:val="center"/>
        <w:rPr>
          <w:rFonts w:hint="default"/>
          <w:spacing w:val="-6"/>
          <w:sz w:val="36"/>
          <w:szCs w:val="24"/>
          <w:lang w:val="en-US" w:eastAsia="zh-CN"/>
        </w:rPr>
      </w:pPr>
    </w:p>
    <w:p w14:paraId="0119C960">
      <w:pPr>
        <w:autoSpaceDE/>
        <w:autoSpaceDN/>
        <w:snapToGrid w:val="0"/>
        <w:jc w:val="center"/>
        <w:rPr>
          <w:rFonts w:hint="default"/>
          <w:spacing w:val="-6"/>
          <w:sz w:val="36"/>
          <w:szCs w:val="24"/>
          <w:lang w:val="en-US" w:eastAsia="zh-CN"/>
        </w:rPr>
      </w:pPr>
    </w:p>
    <w:p w14:paraId="1F49F260">
      <w:pPr>
        <w:autoSpaceDE/>
        <w:autoSpaceDN/>
        <w:snapToGrid w:val="0"/>
        <w:jc w:val="center"/>
        <w:rPr>
          <w:rFonts w:hint="default"/>
          <w:spacing w:val="-6"/>
          <w:sz w:val="36"/>
          <w:szCs w:val="24"/>
          <w:lang w:val="en-US" w:eastAsia="zh-CN"/>
        </w:rPr>
      </w:pPr>
    </w:p>
    <w:p w14:paraId="29AD797C">
      <w:pPr>
        <w:pStyle w:val="2"/>
        <w:spacing w:beforeLines="0" w:afterLines="0"/>
        <w:rPr>
          <w:rFonts w:hint="default" w:ascii="宋体" w:hAnsi="宋体"/>
          <w:spacing w:val="-6"/>
          <w:sz w:val="36"/>
          <w:szCs w:val="36"/>
        </w:rPr>
      </w:pPr>
    </w:p>
    <w:p w14:paraId="324311E3">
      <w:pPr>
        <w:autoSpaceDE/>
        <w:autoSpaceDN/>
        <w:snapToGrid w:val="0"/>
        <w:jc w:val="center"/>
        <w:rPr>
          <w:rFonts w:hint="default"/>
          <w:spacing w:val="-6"/>
          <w:sz w:val="36"/>
          <w:szCs w:val="24"/>
          <w:lang w:val="en-US" w:eastAsia="zh-CN"/>
        </w:rPr>
      </w:pPr>
    </w:p>
    <w:p w14:paraId="7725556E">
      <w:pPr>
        <w:pStyle w:val="9"/>
        <w:autoSpaceDE/>
        <w:autoSpaceDN/>
        <w:snapToGrid w:val="0"/>
        <w:spacing w:after="0" w:line="240" w:lineRule="auto"/>
        <w:rPr>
          <w:rFonts w:hint="default"/>
          <w:sz w:val="22"/>
          <w:szCs w:val="24"/>
          <w:lang w:val="en-US" w:eastAsia="zh-CN"/>
        </w:rPr>
      </w:pPr>
    </w:p>
    <w:p w14:paraId="5ACA3B90">
      <w:pPr>
        <w:autoSpaceDE/>
        <w:autoSpaceDN/>
        <w:snapToGrid w:val="0"/>
        <w:jc w:val="center"/>
        <w:rPr>
          <w:rFonts w:hint="default" w:cs="宋体"/>
          <w:b/>
          <w:spacing w:val="-6"/>
          <w:sz w:val="44"/>
          <w:szCs w:val="44"/>
          <w:lang w:val="en-US" w:eastAsia="zh-CN"/>
        </w:rPr>
      </w:pPr>
      <w:r>
        <w:rPr>
          <w:rFonts w:hint="default" w:cs="宋体"/>
          <w:b/>
          <w:spacing w:val="-6"/>
          <w:sz w:val="44"/>
          <w:szCs w:val="44"/>
          <w:lang w:eastAsia="zh-CN"/>
        </w:rPr>
        <w:t>晋城</w:t>
      </w:r>
      <w:r>
        <w:rPr>
          <w:rFonts w:hint="default" w:cs="宋体"/>
          <w:b/>
          <w:spacing w:val="-6"/>
          <w:sz w:val="44"/>
          <w:szCs w:val="44"/>
        </w:rPr>
        <w:t>职业技能大赛</w:t>
      </w:r>
      <w:r>
        <w:rPr>
          <w:rFonts w:hint="default" w:cs="宋体"/>
          <w:b/>
          <w:spacing w:val="-6"/>
          <w:sz w:val="44"/>
          <w:szCs w:val="44"/>
          <w:lang w:val="en-US" w:eastAsia="zh-CN"/>
        </w:rPr>
        <w:t>组委会</w:t>
      </w:r>
    </w:p>
    <w:p w14:paraId="0FAEF0B1">
      <w:pPr>
        <w:autoSpaceDE/>
        <w:autoSpaceDN/>
        <w:snapToGrid w:val="0"/>
        <w:jc w:val="center"/>
        <w:rPr>
          <w:rFonts w:hint="default" w:cs="宋体"/>
          <w:b/>
          <w:spacing w:val="-6"/>
          <w:sz w:val="44"/>
          <w:szCs w:val="44"/>
        </w:rPr>
      </w:pPr>
      <w:r>
        <w:rPr>
          <w:rFonts w:hint="default" w:cs="宋体"/>
          <w:b/>
          <w:spacing w:val="-6"/>
          <w:sz w:val="44"/>
          <w:szCs w:val="44"/>
        </w:rPr>
        <w:t>202</w:t>
      </w:r>
      <w:r>
        <w:rPr>
          <w:rFonts w:hint="default" w:cs="宋体"/>
          <w:b/>
          <w:spacing w:val="-6"/>
          <w:sz w:val="44"/>
          <w:szCs w:val="44"/>
          <w:lang w:val="en-US" w:eastAsia="zh-CN"/>
        </w:rPr>
        <w:t>5</w:t>
      </w:r>
      <w:r>
        <w:rPr>
          <w:rFonts w:hint="default" w:cs="宋体"/>
          <w:b/>
          <w:spacing w:val="-6"/>
          <w:sz w:val="44"/>
          <w:szCs w:val="44"/>
        </w:rPr>
        <w:t>年</w:t>
      </w:r>
      <w:r>
        <w:rPr>
          <w:rFonts w:hint="default" w:cs="宋体"/>
          <w:b/>
          <w:spacing w:val="-6"/>
          <w:sz w:val="44"/>
          <w:szCs w:val="44"/>
          <w:lang w:val="en-US" w:eastAsia="zh-CN"/>
        </w:rPr>
        <w:t>7</w:t>
      </w:r>
      <w:r>
        <w:rPr>
          <w:rFonts w:hint="default" w:cs="宋体"/>
          <w:b/>
          <w:spacing w:val="-6"/>
          <w:sz w:val="44"/>
          <w:szCs w:val="44"/>
        </w:rPr>
        <w:t>月</w:t>
      </w:r>
    </w:p>
    <w:p w14:paraId="33D409B5">
      <w:pPr>
        <w:pStyle w:val="2"/>
        <w:spacing w:beforeLines="0" w:afterLines="0"/>
        <w:rPr>
          <w:rFonts w:hint="default" w:ascii="宋体" w:hAnsi="宋体" w:cs="宋体"/>
          <w:b/>
          <w:spacing w:val="-6"/>
          <w:sz w:val="44"/>
          <w:szCs w:val="44"/>
        </w:rPr>
      </w:pPr>
    </w:p>
    <w:p w14:paraId="655F5767">
      <w:pPr>
        <w:jc w:val="center"/>
        <w:rPr>
          <w:rFonts w:hint="default"/>
          <w:sz w:val="22"/>
          <w:szCs w:val="24"/>
        </w:rPr>
      </w:pPr>
    </w:p>
    <w:p w14:paraId="24569863">
      <w:pPr>
        <w:jc w:val="center"/>
        <w:rPr>
          <w:rFonts w:hint="default"/>
          <w:sz w:val="32"/>
          <w:szCs w:val="24"/>
        </w:rPr>
      </w:pPr>
      <w:r>
        <w:rPr>
          <w:rFonts w:hint="default"/>
          <w:sz w:val="28"/>
          <w:szCs w:val="24"/>
        </w:rPr>
        <w:t>目</w:t>
      </w:r>
      <w:r>
        <w:rPr>
          <w:rFonts w:hint="default"/>
          <w:sz w:val="28"/>
          <w:szCs w:val="24"/>
          <w:lang w:val="en-US" w:eastAsia="zh-CN"/>
        </w:rPr>
        <w:t xml:space="preserve"> </w:t>
      </w:r>
      <w:r>
        <w:rPr>
          <w:rFonts w:hint="default"/>
          <w:sz w:val="28"/>
          <w:szCs w:val="24"/>
        </w:rPr>
        <w:t>录</w:t>
      </w:r>
    </w:p>
    <w:p w14:paraId="3ACB52D5">
      <w:pPr>
        <w:pStyle w:val="12"/>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TOC \o "1-3" \h \u </w:instrText>
      </w:r>
      <w:r>
        <w:rPr>
          <w:rFonts w:hint="default" w:cs="宋体"/>
          <w:spacing w:val="-6"/>
          <w:sz w:val="22"/>
          <w:szCs w:val="44"/>
        </w:rPr>
        <w:fldChar w:fldCharType="separate"/>
      </w:r>
      <w:r>
        <w:rPr>
          <w:rFonts w:hint="default" w:cs="宋体"/>
          <w:spacing w:val="-6"/>
          <w:sz w:val="22"/>
          <w:szCs w:val="44"/>
        </w:rPr>
        <w:fldChar w:fldCharType="begin"/>
      </w:r>
      <w:r>
        <w:rPr>
          <w:rFonts w:hint="default" w:cs="宋体"/>
          <w:spacing w:val="-6"/>
          <w:sz w:val="22"/>
          <w:szCs w:val="44"/>
        </w:rPr>
        <w:instrText xml:space="preserve"> HYPERLINK \l _Toc8833 </w:instrText>
      </w:r>
      <w:r>
        <w:rPr>
          <w:rFonts w:hint="default" w:cs="宋体"/>
          <w:spacing w:val="-6"/>
          <w:sz w:val="22"/>
          <w:szCs w:val="44"/>
        </w:rPr>
        <w:fldChar w:fldCharType="separate"/>
      </w:r>
      <w:r>
        <w:rPr>
          <w:rFonts w:hint="default"/>
          <w:sz w:val="22"/>
          <w:szCs w:val="24"/>
          <w:lang w:val="en-US" w:eastAsia="zh-CN"/>
        </w:rPr>
        <w:t>一、技术描述</w:t>
      </w:r>
      <w:r>
        <w:rPr>
          <w:rFonts w:hint="default"/>
          <w:sz w:val="22"/>
          <w:szCs w:val="24"/>
        </w:rPr>
        <w:tab/>
      </w:r>
      <w:r>
        <w:rPr>
          <w:rFonts w:hint="default"/>
          <w:sz w:val="22"/>
          <w:szCs w:val="24"/>
        </w:rPr>
        <w:fldChar w:fldCharType="begin"/>
      </w:r>
      <w:r>
        <w:rPr>
          <w:rFonts w:hint="default"/>
          <w:sz w:val="22"/>
          <w:szCs w:val="24"/>
        </w:rPr>
        <w:instrText xml:space="preserve"> PAGEREF _Toc8833 \h </w:instrText>
      </w:r>
      <w:r>
        <w:rPr>
          <w:rFonts w:hint="default"/>
          <w:sz w:val="22"/>
          <w:szCs w:val="24"/>
        </w:rPr>
        <w:fldChar w:fldCharType="separate"/>
      </w:r>
      <w:r>
        <w:rPr>
          <w:rFonts w:hint="default"/>
          <w:sz w:val="22"/>
          <w:szCs w:val="24"/>
        </w:rPr>
        <w:t>1</w:t>
      </w:r>
      <w:r>
        <w:rPr>
          <w:rFonts w:hint="default"/>
          <w:sz w:val="22"/>
          <w:szCs w:val="24"/>
        </w:rPr>
        <w:fldChar w:fldCharType="end"/>
      </w:r>
      <w:r>
        <w:rPr>
          <w:rFonts w:hint="default"/>
          <w:sz w:val="22"/>
          <w:szCs w:val="24"/>
        </w:rPr>
        <w:fldChar w:fldCharType="end"/>
      </w:r>
    </w:p>
    <w:p w14:paraId="23289852">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_Toc8856 </w:instrText>
      </w:r>
      <w:r>
        <w:rPr>
          <w:rFonts w:hint="default" w:cs="宋体"/>
          <w:spacing w:val="-6"/>
          <w:sz w:val="22"/>
          <w:szCs w:val="44"/>
        </w:rPr>
        <w:fldChar w:fldCharType="separate"/>
      </w:r>
      <w:r>
        <w:rPr>
          <w:rFonts w:hint="default"/>
          <w:sz w:val="22"/>
          <w:szCs w:val="24"/>
          <w:lang w:val="en-US" w:eastAsia="zh-CN"/>
        </w:rPr>
        <w:t>(一)项目概要</w:t>
      </w:r>
      <w:r>
        <w:rPr>
          <w:rFonts w:hint="default"/>
          <w:sz w:val="22"/>
          <w:szCs w:val="24"/>
        </w:rPr>
        <w:tab/>
      </w:r>
      <w:r>
        <w:rPr>
          <w:rFonts w:hint="default"/>
          <w:sz w:val="22"/>
          <w:szCs w:val="24"/>
        </w:rPr>
        <w:fldChar w:fldCharType="begin"/>
      </w:r>
      <w:r>
        <w:rPr>
          <w:rFonts w:hint="default"/>
          <w:sz w:val="22"/>
          <w:szCs w:val="24"/>
        </w:rPr>
        <w:instrText xml:space="preserve"> PAGEREF _Toc8856 \h </w:instrText>
      </w:r>
      <w:r>
        <w:rPr>
          <w:rFonts w:hint="default"/>
          <w:sz w:val="22"/>
          <w:szCs w:val="24"/>
        </w:rPr>
        <w:fldChar w:fldCharType="separate"/>
      </w:r>
      <w:r>
        <w:rPr>
          <w:rFonts w:hint="default"/>
          <w:sz w:val="22"/>
          <w:szCs w:val="24"/>
        </w:rPr>
        <w:t>1</w:t>
      </w:r>
      <w:r>
        <w:rPr>
          <w:rFonts w:hint="default"/>
          <w:sz w:val="22"/>
          <w:szCs w:val="24"/>
        </w:rPr>
        <w:fldChar w:fldCharType="end"/>
      </w:r>
      <w:r>
        <w:rPr>
          <w:rFonts w:hint="default"/>
          <w:sz w:val="22"/>
          <w:szCs w:val="24"/>
        </w:rPr>
        <w:fldChar w:fldCharType="end"/>
      </w:r>
    </w:p>
    <w:p w14:paraId="3A4309A0">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_Toc8188 </w:instrText>
      </w:r>
      <w:r>
        <w:rPr>
          <w:rFonts w:hint="default" w:cs="宋体"/>
          <w:spacing w:val="-6"/>
          <w:sz w:val="22"/>
          <w:szCs w:val="44"/>
        </w:rPr>
        <w:fldChar w:fldCharType="separate"/>
      </w:r>
      <w:r>
        <w:rPr>
          <w:rFonts w:hint="default"/>
          <w:sz w:val="22"/>
          <w:szCs w:val="24"/>
          <w:lang w:val="en-US" w:eastAsia="zh-CN"/>
        </w:rPr>
        <w:t>（二）基本知识与能力要求</w:t>
      </w:r>
      <w:r>
        <w:rPr>
          <w:rFonts w:hint="default"/>
          <w:sz w:val="22"/>
          <w:szCs w:val="24"/>
        </w:rPr>
        <w:tab/>
      </w:r>
      <w:r>
        <w:rPr>
          <w:rFonts w:hint="default"/>
          <w:sz w:val="22"/>
          <w:szCs w:val="24"/>
        </w:rPr>
        <w:fldChar w:fldCharType="begin"/>
      </w:r>
      <w:r>
        <w:rPr>
          <w:rFonts w:hint="default"/>
          <w:sz w:val="22"/>
          <w:szCs w:val="24"/>
        </w:rPr>
        <w:instrText xml:space="preserve"> PAGEREF _Toc8188 \h </w:instrText>
      </w:r>
      <w:r>
        <w:rPr>
          <w:rFonts w:hint="default"/>
          <w:sz w:val="22"/>
          <w:szCs w:val="24"/>
        </w:rPr>
        <w:fldChar w:fldCharType="separate"/>
      </w:r>
      <w:r>
        <w:rPr>
          <w:rFonts w:hint="default"/>
          <w:sz w:val="22"/>
          <w:szCs w:val="24"/>
        </w:rPr>
        <w:t>1</w:t>
      </w:r>
      <w:r>
        <w:rPr>
          <w:rFonts w:hint="default"/>
          <w:sz w:val="22"/>
          <w:szCs w:val="24"/>
        </w:rPr>
        <w:fldChar w:fldCharType="end"/>
      </w:r>
      <w:r>
        <w:rPr>
          <w:rFonts w:hint="default"/>
          <w:sz w:val="22"/>
          <w:szCs w:val="24"/>
        </w:rPr>
        <w:fldChar w:fldCharType="end"/>
      </w:r>
    </w:p>
    <w:p w14:paraId="77D92BC7">
      <w:pPr>
        <w:pStyle w:val="12"/>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_Toc15552 </w:instrText>
      </w:r>
      <w:r>
        <w:rPr>
          <w:rFonts w:hint="default" w:cs="宋体"/>
          <w:spacing w:val="-6"/>
          <w:sz w:val="22"/>
          <w:szCs w:val="44"/>
        </w:rPr>
        <w:fldChar w:fldCharType="separate"/>
      </w:r>
      <w:r>
        <w:rPr>
          <w:rFonts w:hint="default"/>
          <w:sz w:val="22"/>
          <w:szCs w:val="24"/>
          <w:lang w:val="en-US" w:eastAsia="zh-CN"/>
        </w:rPr>
        <w:t>二、试题与评判标准</w:t>
      </w:r>
      <w:r>
        <w:rPr>
          <w:rFonts w:hint="default"/>
          <w:sz w:val="22"/>
          <w:szCs w:val="24"/>
        </w:rPr>
        <w:tab/>
      </w:r>
      <w:r>
        <w:rPr>
          <w:rFonts w:hint="default"/>
          <w:sz w:val="22"/>
          <w:szCs w:val="24"/>
        </w:rPr>
        <w:fldChar w:fldCharType="begin"/>
      </w:r>
      <w:r>
        <w:rPr>
          <w:rFonts w:hint="default"/>
          <w:sz w:val="22"/>
          <w:szCs w:val="24"/>
        </w:rPr>
        <w:instrText xml:space="preserve"> PAGEREF _Toc15552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0124A802">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_Toc15830 </w:instrText>
      </w:r>
      <w:r>
        <w:rPr>
          <w:rFonts w:hint="default" w:cs="宋体"/>
          <w:spacing w:val="-6"/>
          <w:sz w:val="22"/>
          <w:szCs w:val="44"/>
        </w:rPr>
        <w:fldChar w:fldCharType="separate"/>
      </w:r>
      <w:r>
        <w:rPr>
          <w:rFonts w:hint="default" w:cs="Times New Roman"/>
          <w:sz w:val="22"/>
          <w:szCs w:val="28"/>
          <w:lang w:val="en-US" w:eastAsia="zh-CN"/>
        </w:rPr>
        <w:t>（一）竞赛试题</w:t>
      </w:r>
      <w:r>
        <w:rPr>
          <w:rFonts w:hint="default"/>
          <w:sz w:val="22"/>
          <w:szCs w:val="24"/>
        </w:rPr>
        <w:tab/>
      </w:r>
      <w:r>
        <w:rPr>
          <w:rFonts w:hint="default"/>
          <w:sz w:val="22"/>
          <w:szCs w:val="24"/>
        </w:rPr>
        <w:fldChar w:fldCharType="begin"/>
      </w:r>
      <w:r>
        <w:rPr>
          <w:rFonts w:hint="default"/>
          <w:sz w:val="22"/>
          <w:szCs w:val="24"/>
        </w:rPr>
        <w:instrText xml:space="preserve"> PAGEREF _Toc15830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5B334902">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_Toc12772 </w:instrText>
      </w:r>
      <w:r>
        <w:rPr>
          <w:rFonts w:hint="default" w:cs="宋体"/>
          <w:spacing w:val="-6"/>
          <w:sz w:val="22"/>
          <w:szCs w:val="44"/>
        </w:rPr>
        <w:fldChar w:fldCharType="separate"/>
      </w:r>
      <w:r>
        <w:rPr>
          <w:rFonts w:hint="default" w:cs="Times New Roman"/>
          <w:sz w:val="22"/>
          <w:szCs w:val="21"/>
          <w:lang w:val="en-US" w:eastAsia="zh-CN"/>
        </w:rPr>
        <w:t>1.基本内容</w:t>
      </w:r>
      <w:r>
        <w:rPr>
          <w:rFonts w:hint="default"/>
          <w:sz w:val="22"/>
          <w:szCs w:val="24"/>
        </w:rPr>
        <w:tab/>
      </w:r>
      <w:r>
        <w:rPr>
          <w:rFonts w:hint="default"/>
          <w:sz w:val="22"/>
          <w:szCs w:val="24"/>
        </w:rPr>
        <w:fldChar w:fldCharType="begin"/>
      </w:r>
      <w:r>
        <w:rPr>
          <w:rFonts w:hint="default"/>
          <w:sz w:val="22"/>
          <w:szCs w:val="24"/>
        </w:rPr>
        <w:instrText xml:space="preserve"> PAGEREF _Toc12772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291FD1B2">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_Toc14206 </w:instrText>
      </w:r>
      <w:r>
        <w:rPr>
          <w:rFonts w:hint="default" w:cs="宋体"/>
          <w:spacing w:val="-6"/>
          <w:sz w:val="22"/>
          <w:szCs w:val="44"/>
        </w:rPr>
        <w:fldChar w:fldCharType="separate"/>
      </w:r>
      <w:r>
        <w:rPr>
          <w:rFonts w:hint="default" w:cs="Times New Roman"/>
          <w:sz w:val="22"/>
          <w:szCs w:val="21"/>
          <w:lang w:val="en-US" w:eastAsia="zh-CN"/>
        </w:rPr>
        <w:t>2.命题方式</w:t>
      </w:r>
      <w:r>
        <w:rPr>
          <w:rFonts w:hint="default"/>
          <w:sz w:val="22"/>
          <w:szCs w:val="24"/>
        </w:rPr>
        <w:tab/>
      </w:r>
      <w:r>
        <w:rPr>
          <w:rFonts w:hint="default"/>
          <w:sz w:val="22"/>
          <w:szCs w:val="24"/>
        </w:rPr>
        <w:fldChar w:fldCharType="begin"/>
      </w:r>
      <w:r>
        <w:rPr>
          <w:rFonts w:hint="default"/>
          <w:sz w:val="22"/>
          <w:szCs w:val="24"/>
        </w:rPr>
        <w:instrText xml:space="preserve"> PAGEREF _Toc14206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72FBB3D9">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_Toc27215 </w:instrText>
      </w:r>
      <w:r>
        <w:rPr>
          <w:rFonts w:hint="default" w:cs="宋体"/>
          <w:spacing w:val="-6"/>
          <w:sz w:val="22"/>
          <w:szCs w:val="44"/>
        </w:rPr>
        <w:fldChar w:fldCharType="separate"/>
      </w:r>
      <w:r>
        <w:rPr>
          <w:rFonts w:hint="default" w:cs="Times New Roman"/>
          <w:sz w:val="22"/>
          <w:szCs w:val="21"/>
          <w:lang w:val="en-US" w:eastAsia="zh-CN"/>
        </w:rPr>
        <w:t>3.竞赛样题</w:t>
      </w:r>
      <w:r>
        <w:rPr>
          <w:rFonts w:hint="default"/>
          <w:sz w:val="22"/>
          <w:szCs w:val="24"/>
        </w:rPr>
        <w:tab/>
      </w:r>
      <w:r>
        <w:rPr>
          <w:rFonts w:hint="default"/>
          <w:sz w:val="22"/>
          <w:szCs w:val="24"/>
        </w:rPr>
        <w:fldChar w:fldCharType="begin"/>
      </w:r>
      <w:r>
        <w:rPr>
          <w:rFonts w:hint="default"/>
          <w:sz w:val="22"/>
          <w:szCs w:val="24"/>
        </w:rPr>
        <w:instrText xml:space="preserve"> PAGEREF _Toc27215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19EAE159">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_Toc3119 </w:instrText>
      </w:r>
      <w:r>
        <w:rPr>
          <w:rFonts w:hint="default" w:cs="宋体"/>
          <w:spacing w:val="-6"/>
          <w:sz w:val="22"/>
          <w:szCs w:val="44"/>
        </w:rPr>
        <w:fldChar w:fldCharType="separate"/>
      </w:r>
      <w:r>
        <w:rPr>
          <w:rFonts w:hint="default" w:cs="Times New Roman"/>
          <w:sz w:val="22"/>
          <w:szCs w:val="28"/>
          <w:lang w:val="en-US" w:eastAsia="zh-CN"/>
        </w:rPr>
        <w:t>（二）比赛时间及试题具体内容</w:t>
      </w:r>
      <w:r>
        <w:rPr>
          <w:rFonts w:hint="default"/>
          <w:sz w:val="22"/>
          <w:szCs w:val="24"/>
        </w:rPr>
        <w:tab/>
      </w:r>
      <w:r>
        <w:rPr>
          <w:rFonts w:hint="default"/>
          <w:sz w:val="22"/>
          <w:szCs w:val="24"/>
        </w:rPr>
        <w:fldChar w:fldCharType="begin"/>
      </w:r>
      <w:r>
        <w:rPr>
          <w:rFonts w:hint="default"/>
          <w:sz w:val="22"/>
          <w:szCs w:val="24"/>
        </w:rPr>
        <w:instrText xml:space="preserve"> PAGEREF _Toc3119 \h </w:instrText>
      </w:r>
      <w:r>
        <w:rPr>
          <w:rFonts w:hint="default"/>
          <w:sz w:val="22"/>
          <w:szCs w:val="24"/>
        </w:rPr>
        <w:fldChar w:fldCharType="separate"/>
      </w:r>
      <w:r>
        <w:rPr>
          <w:rFonts w:hint="default"/>
          <w:sz w:val="22"/>
          <w:szCs w:val="24"/>
        </w:rPr>
        <w:t>2</w:t>
      </w:r>
      <w:r>
        <w:rPr>
          <w:rFonts w:hint="default"/>
          <w:sz w:val="22"/>
          <w:szCs w:val="24"/>
        </w:rPr>
        <w:fldChar w:fldCharType="end"/>
      </w:r>
      <w:r>
        <w:rPr>
          <w:rFonts w:hint="default"/>
          <w:sz w:val="22"/>
          <w:szCs w:val="24"/>
        </w:rPr>
        <w:fldChar w:fldCharType="end"/>
      </w:r>
    </w:p>
    <w:p w14:paraId="7AD40A65">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_Toc10250 </w:instrText>
      </w:r>
      <w:r>
        <w:rPr>
          <w:rFonts w:hint="default" w:cs="宋体"/>
          <w:spacing w:val="-6"/>
          <w:sz w:val="22"/>
          <w:szCs w:val="44"/>
        </w:rPr>
        <w:fldChar w:fldCharType="separate"/>
      </w:r>
      <w:r>
        <w:rPr>
          <w:rFonts w:hint="default"/>
          <w:sz w:val="22"/>
          <w:szCs w:val="24"/>
          <w:lang w:val="en-US" w:eastAsia="zh-CN"/>
        </w:rPr>
        <w:t>（三）竞赛评判标准</w:t>
      </w:r>
      <w:r>
        <w:rPr>
          <w:rFonts w:hint="default"/>
          <w:sz w:val="22"/>
          <w:szCs w:val="24"/>
        </w:rPr>
        <w:tab/>
      </w:r>
      <w:r>
        <w:rPr>
          <w:rFonts w:hint="default"/>
          <w:sz w:val="22"/>
          <w:szCs w:val="24"/>
        </w:rPr>
        <w:fldChar w:fldCharType="begin"/>
      </w:r>
      <w:r>
        <w:rPr>
          <w:rFonts w:hint="default"/>
          <w:sz w:val="22"/>
          <w:szCs w:val="24"/>
        </w:rPr>
        <w:instrText xml:space="preserve"> PAGEREF _Toc10250 \h </w:instrText>
      </w:r>
      <w:r>
        <w:rPr>
          <w:rFonts w:hint="default"/>
          <w:sz w:val="22"/>
          <w:szCs w:val="24"/>
        </w:rPr>
        <w:fldChar w:fldCharType="separate"/>
      </w:r>
      <w:r>
        <w:rPr>
          <w:rFonts w:hint="default"/>
          <w:sz w:val="22"/>
          <w:szCs w:val="24"/>
        </w:rPr>
        <w:t>3</w:t>
      </w:r>
      <w:r>
        <w:rPr>
          <w:rFonts w:hint="default"/>
          <w:sz w:val="22"/>
          <w:szCs w:val="24"/>
        </w:rPr>
        <w:fldChar w:fldCharType="end"/>
      </w:r>
      <w:r>
        <w:rPr>
          <w:rFonts w:hint="default"/>
          <w:sz w:val="22"/>
          <w:szCs w:val="24"/>
        </w:rPr>
        <w:fldChar w:fldCharType="end"/>
      </w:r>
    </w:p>
    <w:p w14:paraId="1801BFDE">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_Toc32438 </w:instrText>
      </w:r>
      <w:r>
        <w:rPr>
          <w:rFonts w:hint="default" w:cs="宋体"/>
          <w:spacing w:val="-6"/>
          <w:sz w:val="22"/>
          <w:szCs w:val="44"/>
        </w:rPr>
        <w:fldChar w:fldCharType="separate"/>
      </w:r>
      <w:r>
        <w:rPr>
          <w:rFonts w:hint="default"/>
          <w:sz w:val="22"/>
          <w:szCs w:val="24"/>
          <w:lang w:val="en-US" w:eastAsia="zh-CN"/>
        </w:rPr>
        <w:t>1.竞赛试题配分</w:t>
      </w:r>
      <w:r>
        <w:rPr>
          <w:rFonts w:hint="default"/>
          <w:sz w:val="22"/>
          <w:szCs w:val="24"/>
        </w:rPr>
        <w:tab/>
      </w:r>
      <w:r>
        <w:rPr>
          <w:rFonts w:hint="default"/>
          <w:sz w:val="22"/>
          <w:szCs w:val="24"/>
        </w:rPr>
        <w:fldChar w:fldCharType="begin"/>
      </w:r>
      <w:r>
        <w:rPr>
          <w:rFonts w:hint="default"/>
          <w:sz w:val="22"/>
          <w:szCs w:val="24"/>
        </w:rPr>
        <w:instrText xml:space="preserve"> PAGEREF _Toc32438 \h </w:instrText>
      </w:r>
      <w:r>
        <w:rPr>
          <w:rFonts w:hint="default"/>
          <w:sz w:val="22"/>
          <w:szCs w:val="24"/>
        </w:rPr>
        <w:fldChar w:fldCharType="separate"/>
      </w:r>
      <w:r>
        <w:rPr>
          <w:rFonts w:hint="default"/>
          <w:sz w:val="22"/>
          <w:szCs w:val="24"/>
        </w:rPr>
        <w:t>3</w:t>
      </w:r>
      <w:r>
        <w:rPr>
          <w:rFonts w:hint="default"/>
          <w:sz w:val="22"/>
          <w:szCs w:val="24"/>
        </w:rPr>
        <w:fldChar w:fldCharType="end"/>
      </w:r>
      <w:r>
        <w:rPr>
          <w:rFonts w:hint="default"/>
          <w:sz w:val="22"/>
          <w:szCs w:val="24"/>
        </w:rPr>
        <w:fldChar w:fldCharType="end"/>
      </w:r>
    </w:p>
    <w:p w14:paraId="33B78C01">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_Toc12268 </w:instrText>
      </w:r>
      <w:r>
        <w:rPr>
          <w:rFonts w:hint="default" w:cs="宋体"/>
          <w:spacing w:val="-6"/>
          <w:sz w:val="22"/>
          <w:szCs w:val="44"/>
        </w:rPr>
        <w:fldChar w:fldCharType="separate"/>
      </w:r>
      <w:r>
        <w:rPr>
          <w:rFonts w:hint="default" w:cs="Times New Roman"/>
          <w:sz w:val="22"/>
          <w:szCs w:val="21"/>
          <w:lang w:val="en-US" w:eastAsia="zh-CN"/>
        </w:rPr>
        <w:t>2.评判方法</w:t>
      </w:r>
      <w:r>
        <w:rPr>
          <w:rFonts w:hint="default"/>
          <w:sz w:val="22"/>
          <w:szCs w:val="24"/>
        </w:rPr>
        <w:tab/>
      </w:r>
      <w:r>
        <w:rPr>
          <w:rFonts w:hint="default"/>
          <w:sz w:val="22"/>
          <w:szCs w:val="24"/>
        </w:rPr>
        <w:fldChar w:fldCharType="begin"/>
      </w:r>
      <w:r>
        <w:rPr>
          <w:rFonts w:hint="default"/>
          <w:sz w:val="22"/>
          <w:szCs w:val="24"/>
        </w:rPr>
        <w:instrText xml:space="preserve"> PAGEREF _Toc12268 \h </w:instrText>
      </w:r>
      <w:r>
        <w:rPr>
          <w:rFonts w:hint="default"/>
          <w:sz w:val="22"/>
          <w:szCs w:val="24"/>
        </w:rPr>
        <w:fldChar w:fldCharType="separate"/>
      </w:r>
      <w:r>
        <w:rPr>
          <w:rFonts w:hint="default"/>
          <w:sz w:val="22"/>
          <w:szCs w:val="24"/>
        </w:rPr>
        <w:t>3</w:t>
      </w:r>
      <w:r>
        <w:rPr>
          <w:rFonts w:hint="default"/>
          <w:sz w:val="22"/>
          <w:szCs w:val="24"/>
        </w:rPr>
        <w:fldChar w:fldCharType="end"/>
      </w:r>
      <w:r>
        <w:rPr>
          <w:rFonts w:hint="default"/>
          <w:sz w:val="22"/>
          <w:szCs w:val="24"/>
        </w:rPr>
        <w:fldChar w:fldCharType="end"/>
      </w:r>
    </w:p>
    <w:p w14:paraId="25036286">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_Toc8393 </w:instrText>
      </w:r>
      <w:r>
        <w:rPr>
          <w:rFonts w:hint="default" w:cs="宋体"/>
          <w:spacing w:val="-6"/>
          <w:sz w:val="22"/>
          <w:szCs w:val="44"/>
        </w:rPr>
        <w:fldChar w:fldCharType="separate"/>
      </w:r>
      <w:r>
        <w:rPr>
          <w:rFonts w:hint="default" w:cs="Times New Roman"/>
          <w:sz w:val="22"/>
          <w:szCs w:val="21"/>
          <w:lang w:val="en-US" w:eastAsia="zh-CN"/>
        </w:rPr>
        <w:t>3.评分标准</w:t>
      </w:r>
      <w:r>
        <w:rPr>
          <w:rFonts w:hint="default"/>
          <w:sz w:val="22"/>
          <w:szCs w:val="24"/>
        </w:rPr>
        <w:tab/>
      </w:r>
      <w:r>
        <w:rPr>
          <w:rFonts w:hint="default"/>
          <w:sz w:val="22"/>
          <w:szCs w:val="24"/>
        </w:rPr>
        <w:fldChar w:fldCharType="begin"/>
      </w:r>
      <w:r>
        <w:rPr>
          <w:rFonts w:hint="default"/>
          <w:sz w:val="22"/>
          <w:szCs w:val="24"/>
        </w:rPr>
        <w:instrText xml:space="preserve"> PAGEREF _Toc8393 \h </w:instrText>
      </w:r>
      <w:r>
        <w:rPr>
          <w:rFonts w:hint="default"/>
          <w:sz w:val="22"/>
          <w:szCs w:val="24"/>
        </w:rPr>
        <w:fldChar w:fldCharType="separate"/>
      </w:r>
      <w:r>
        <w:rPr>
          <w:rFonts w:hint="default"/>
          <w:sz w:val="22"/>
          <w:szCs w:val="24"/>
        </w:rPr>
        <w:t>3</w:t>
      </w:r>
      <w:r>
        <w:rPr>
          <w:rFonts w:hint="default"/>
          <w:sz w:val="22"/>
          <w:szCs w:val="24"/>
        </w:rPr>
        <w:fldChar w:fldCharType="end"/>
      </w:r>
      <w:r>
        <w:rPr>
          <w:rFonts w:hint="default"/>
          <w:sz w:val="22"/>
          <w:szCs w:val="24"/>
        </w:rPr>
        <w:fldChar w:fldCharType="end"/>
      </w:r>
    </w:p>
    <w:p w14:paraId="0207E380">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_Toc5158 </w:instrText>
      </w:r>
      <w:r>
        <w:rPr>
          <w:rFonts w:hint="default" w:cs="宋体"/>
          <w:spacing w:val="-6"/>
          <w:sz w:val="22"/>
          <w:szCs w:val="44"/>
        </w:rPr>
        <w:fldChar w:fldCharType="separate"/>
      </w:r>
      <w:r>
        <w:rPr>
          <w:rFonts w:hint="default" w:cs="Times New Roman"/>
          <w:sz w:val="22"/>
          <w:szCs w:val="21"/>
          <w:lang w:val="en-US" w:eastAsia="zh-CN"/>
        </w:rPr>
        <w:t>4.成绩并列</w:t>
      </w:r>
      <w:r>
        <w:rPr>
          <w:rFonts w:hint="default"/>
          <w:sz w:val="22"/>
          <w:szCs w:val="24"/>
        </w:rPr>
        <w:tab/>
      </w:r>
      <w:r>
        <w:rPr>
          <w:rFonts w:hint="default"/>
          <w:sz w:val="22"/>
          <w:szCs w:val="24"/>
        </w:rPr>
        <w:fldChar w:fldCharType="begin"/>
      </w:r>
      <w:r>
        <w:rPr>
          <w:rFonts w:hint="default"/>
          <w:sz w:val="22"/>
          <w:szCs w:val="24"/>
        </w:rPr>
        <w:instrText xml:space="preserve"> PAGEREF _Toc5158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37B6F913">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_Toc11744 </w:instrText>
      </w:r>
      <w:r>
        <w:rPr>
          <w:rFonts w:hint="default" w:cs="宋体"/>
          <w:spacing w:val="-6"/>
          <w:sz w:val="22"/>
          <w:szCs w:val="44"/>
        </w:rPr>
        <w:fldChar w:fldCharType="separate"/>
      </w:r>
      <w:r>
        <w:rPr>
          <w:rFonts w:hint="default" w:cs="Times New Roman"/>
          <w:sz w:val="22"/>
          <w:szCs w:val="21"/>
          <w:lang w:val="en-US" w:eastAsia="zh-CN"/>
        </w:rPr>
        <w:t>5.特殊情况</w:t>
      </w:r>
      <w:r>
        <w:rPr>
          <w:rFonts w:hint="default"/>
          <w:sz w:val="22"/>
          <w:szCs w:val="24"/>
        </w:rPr>
        <w:tab/>
      </w:r>
      <w:r>
        <w:rPr>
          <w:rFonts w:hint="default"/>
          <w:sz w:val="22"/>
          <w:szCs w:val="24"/>
        </w:rPr>
        <w:fldChar w:fldCharType="begin"/>
      </w:r>
      <w:r>
        <w:rPr>
          <w:rFonts w:hint="default"/>
          <w:sz w:val="22"/>
          <w:szCs w:val="24"/>
        </w:rPr>
        <w:instrText xml:space="preserve"> PAGEREF _Toc11744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6CEBB318">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_Toc29749 </w:instrText>
      </w:r>
      <w:r>
        <w:rPr>
          <w:rFonts w:hint="default" w:cs="宋体"/>
          <w:spacing w:val="-6"/>
          <w:sz w:val="22"/>
          <w:szCs w:val="44"/>
        </w:rPr>
        <w:fldChar w:fldCharType="separate"/>
      </w:r>
      <w:r>
        <w:rPr>
          <w:rFonts w:hint="default"/>
          <w:sz w:val="22"/>
          <w:szCs w:val="24"/>
          <w:lang w:val="en-US" w:eastAsia="zh-CN"/>
        </w:rPr>
        <w:t>（四）公布方式(保密安排)</w:t>
      </w:r>
      <w:r>
        <w:rPr>
          <w:rFonts w:hint="default"/>
          <w:sz w:val="22"/>
          <w:szCs w:val="24"/>
        </w:rPr>
        <w:tab/>
      </w:r>
      <w:r>
        <w:rPr>
          <w:rFonts w:hint="default"/>
          <w:sz w:val="22"/>
          <w:szCs w:val="24"/>
        </w:rPr>
        <w:fldChar w:fldCharType="begin"/>
      </w:r>
      <w:r>
        <w:rPr>
          <w:rFonts w:hint="default"/>
          <w:sz w:val="22"/>
          <w:szCs w:val="24"/>
        </w:rPr>
        <w:instrText xml:space="preserve"> PAGEREF _Toc29749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0B7013CB">
      <w:pPr>
        <w:pStyle w:val="12"/>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_Toc23005 </w:instrText>
      </w:r>
      <w:r>
        <w:rPr>
          <w:rFonts w:hint="default" w:cs="宋体"/>
          <w:spacing w:val="-6"/>
          <w:sz w:val="22"/>
          <w:szCs w:val="44"/>
        </w:rPr>
        <w:fldChar w:fldCharType="separate"/>
      </w:r>
      <w:r>
        <w:rPr>
          <w:rFonts w:hint="default"/>
          <w:sz w:val="22"/>
          <w:szCs w:val="24"/>
          <w:lang w:val="en-US" w:eastAsia="zh-CN"/>
        </w:rPr>
        <w:t>三、 竞赛细则</w:t>
      </w:r>
      <w:r>
        <w:rPr>
          <w:rFonts w:hint="default"/>
          <w:sz w:val="22"/>
          <w:szCs w:val="24"/>
        </w:rPr>
        <w:tab/>
      </w:r>
      <w:r>
        <w:rPr>
          <w:rFonts w:hint="default"/>
          <w:sz w:val="22"/>
          <w:szCs w:val="24"/>
        </w:rPr>
        <w:fldChar w:fldCharType="begin"/>
      </w:r>
      <w:r>
        <w:rPr>
          <w:rFonts w:hint="default"/>
          <w:sz w:val="22"/>
          <w:szCs w:val="24"/>
        </w:rPr>
        <w:instrText xml:space="preserve"> PAGEREF _Toc23005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57DA717F">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_Toc25952 </w:instrText>
      </w:r>
      <w:r>
        <w:rPr>
          <w:rFonts w:hint="default" w:cs="宋体"/>
          <w:spacing w:val="-6"/>
          <w:sz w:val="22"/>
          <w:szCs w:val="44"/>
        </w:rPr>
        <w:fldChar w:fldCharType="separate"/>
      </w:r>
      <w:r>
        <w:rPr>
          <w:rFonts w:hint="default"/>
          <w:sz w:val="22"/>
          <w:szCs w:val="24"/>
          <w:lang w:val="en-US" w:eastAsia="zh-CN"/>
        </w:rPr>
        <w:t>（一）竞赛时间安排</w:t>
      </w:r>
      <w:r>
        <w:rPr>
          <w:rFonts w:hint="default"/>
          <w:sz w:val="22"/>
          <w:szCs w:val="24"/>
        </w:rPr>
        <w:tab/>
      </w:r>
      <w:r>
        <w:rPr>
          <w:rFonts w:hint="default"/>
          <w:sz w:val="22"/>
          <w:szCs w:val="24"/>
        </w:rPr>
        <w:fldChar w:fldCharType="begin"/>
      </w:r>
      <w:r>
        <w:rPr>
          <w:rFonts w:hint="default"/>
          <w:sz w:val="22"/>
          <w:szCs w:val="24"/>
        </w:rPr>
        <w:instrText xml:space="preserve"> PAGEREF _Toc25952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605889E3">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_Toc6677 </w:instrText>
      </w:r>
      <w:r>
        <w:rPr>
          <w:rFonts w:hint="default" w:cs="宋体"/>
          <w:spacing w:val="-6"/>
          <w:sz w:val="22"/>
          <w:szCs w:val="44"/>
        </w:rPr>
        <w:fldChar w:fldCharType="separate"/>
      </w:r>
      <w:r>
        <w:rPr>
          <w:rFonts w:hint="default" w:cs="Times New Roman"/>
          <w:sz w:val="22"/>
          <w:szCs w:val="28"/>
          <w:lang w:val="en-US" w:eastAsia="zh-CN"/>
        </w:rPr>
        <w:t>（二）裁判员分组和职责</w:t>
      </w:r>
      <w:r>
        <w:rPr>
          <w:rFonts w:hint="default"/>
          <w:sz w:val="22"/>
          <w:szCs w:val="24"/>
        </w:rPr>
        <w:tab/>
      </w:r>
      <w:r>
        <w:rPr>
          <w:rFonts w:hint="default"/>
          <w:sz w:val="22"/>
          <w:szCs w:val="24"/>
        </w:rPr>
        <w:fldChar w:fldCharType="begin"/>
      </w:r>
      <w:r>
        <w:rPr>
          <w:rFonts w:hint="default"/>
          <w:sz w:val="22"/>
          <w:szCs w:val="24"/>
        </w:rPr>
        <w:instrText xml:space="preserve"> PAGEREF _Toc6677 \h </w:instrText>
      </w:r>
      <w:r>
        <w:rPr>
          <w:rFonts w:hint="default"/>
          <w:sz w:val="22"/>
          <w:szCs w:val="24"/>
        </w:rPr>
        <w:fldChar w:fldCharType="separate"/>
      </w:r>
      <w:r>
        <w:rPr>
          <w:rFonts w:hint="default"/>
          <w:sz w:val="22"/>
          <w:szCs w:val="24"/>
        </w:rPr>
        <w:t>4</w:t>
      </w:r>
      <w:r>
        <w:rPr>
          <w:rFonts w:hint="default"/>
          <w:sz w:val="22"/>
          <w:szCs w:val="24"/>
        </w:rPr>
        <w:fldChar w:fldCharType="end"/>
      </w:r>
      <w:r>
        <w:rPr>
          <w:rFonts w:hint="default"/>
          <w:sz w:val="22"/>
          <w:szCs w:val="24"/>
        </w:rPr>
        <w:fldChar w:fldCharType="end"/>
      </w:r>
    </w:p>
    <w:p w14:paraId="7549A4D3">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_Toc4140 </w:instrText>
      </w:r>
      <w:r>
        <w:rPr>
          <w:rFonts w:hint="default" w:cs="宋体"/>
          <w:spacing w:val="-6"/>
          <w:sz w:val="22"/>
          <w:szCs w:val="44"/>
        </w:rPr>
        <w:fldChar w:fldCharType="separate"/>
      </w:r>
      <w:r>
        <w:rPr>
          <w:rFonts w:hint="default" w:cs="Times New Roman"/>
          <w:sz w:val="22"/>
          <w:szCs w:val="28"/>
          <w:lang w:val="en-US" w:eastAsia="zh-CN"/>
        </w:rPr>
        <w:t>（三）竞赛实施细则</w:t>
      </w:r>
      <w:r>
        <w:rPr>
          <w:rFonts w:hint="default"/>
          <w:sz w:val="22"/>
          <w:szCs w:val="24"/>
        </w:rPr>
        <w:tab/>
      </w:r>
      <w:r>
        <w:rPr>
          <w:rFonts w:hint="default"/>
          <w:sz w:val="22"/>
          <w:szCs w:val="24"/>
        </w:rPr>
        <w:fldChar w:fldCharType="begin"/>
      </w:r>
      <w:r>
        <w:rPr>
          <w:rFonts w:hint="default"/>
          <w:sz w:val="22"/>
          <w:szCs w:val="24"/>
        </w:rPr>
        <w:instrText xml:space="preserve"> PAGEREF _Toc4140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0B6E1B79">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_Toc25458 </w:instrText>
      </w:r>
      <w:r>
        <w:rPr>
          <w:rFonts w:hint="default" w:cs="宋体"/>
          <w:spacing w:val="-6"/>
          <w:sz w:val="22"/>
          <w:szCs w:val="44"/>
        </w:rPr>
        <w:fldChar w:fldCharType="separate"/>
      </w:r>
      <w:r>
        <w:rPr>
          <w:rFonts w:hint="default" w:cs="Times New Roman"/>
          <w:sz w:val="22"/>
          <w:szCs w:val="21"/>
          <w:lang w:val="en-US" w:eastAsia="zh-CN"/>
        </w:rPr>
        <w:t>1.赛前准备</w:t>
      </w:r>
      <w:r>
        <w:rPr>
          <w:rFonts w:hint="default"/>
          <w:sz w:val="22"/>
          <w:szCs w:val="24"/>
        </w:rPr>
        <w:tab/>
      </w:r>
      <w:r>
        <w:rPr>
          <w:rFonts w:hint="default"/>
          <w:sz w:val="22"/>
          <w:szCs w:val="24"/>
        </w:rPr>
        <w:fldChar w:fldCharType="begin"/>
      </w:r>
      <w:r>
        <w:rPr>
          <w:rFonts w:hint="default"/>
          <w:sz w:val="22"/>
          <w:szCs w:val="24"/>
        </w:rPr>
        <w:instrText xml:space="preserve"> PAGEREF _Toc25458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72AC7395">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_Toc12910 </w:instrText>
      </w:r>
      <w:r>
        <w:rPr>
          <w:rFonts w:hint="default" w:cs="宋体"/>
          <w:spacing w:val="-6"/>
          <w:sz w:val="22"/>
          <w:szCs w:val="44"/>
        </w:rPr>
        <w:fldChar w:fldCharType="separate"/>
      </w:r>
      <w:r>
        <w:rPr>
          <w:rFonts w:hint="default" w:cs="Times New Roman"/>
          <w:sz w:val="22"/>
          <w:szCs w:val="21"/>
          <w:lang w:val="en-US" w:eastAsia="zh-CN"/>
        </w:rPr>
        <w:t>2.竞赛形式</w:t>
      </w:r>
      <w:r>
        <w:rPr>
          <w:rFonts w:hint="default"/>
          <w:sz w:val="22"/>
          <w:szCs w:val="24"/>
        </w:rPr>
        <w:tab/>
      </w:r>
      <w:r>
        <w:rPr>
          <w:rFonts w:hint="default"/>
          <w:sz w:val="22"/>
          <w:szCs w:val="24"/>
        </w:rPr>
        <w:fldChar w:fldCharType="begin"/>
      </w:r>
      <w:r>
        <w:rPr>
          <w:rFonts w:hint="default"/>
          <w:sz w:val="22"/>
          <w:szCs w:val="24"/>
        </w:rPr>
        <w:instrText xml:space="preserve"> PAGEREF _Toc12910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438CAA3A">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_Toc28354 </w:instrText>
      </w:r>
      <w:r>
        <w:rPr>
          <w:rFonts w:hint="default" w:cs="宋体"/>
          <w:spacing w:val="-6"/>
          <w:sz w:val="22"/>
          <w:szCs w:val="44"/>
        </w:rPr>
        <w:fldChar w:fldCharType="separate"/>
      </w:r>
      <w:r>
        <w:rPr>
          <w:rFonts w:hint="default" w:cs="Times New Roman"/>
          <w:sz w:val="22"/>
          <w:szCs w:val="21"/>
          <w:lang w:val="en-US" w:eastAsia="zh-CN"/>
        </w:rPr>
        <w:t>3.竞赛实施</w:t>
      </w:r>
      <w:r>
        <w:rPr>
          <w:rFonts w:hint="default"/>
          <w:sz w:val="22"/>
          <w:szCs w:val="24"/>
        </w:rPr>
        <w:tab/>
      </w:r>
      <w:r>
        <w:rPr>
          <w:rFonts w:hint="default"/>
          <w:sz w:val="22"/>
          <w:szCs w:val="24"/>
        </w:rPr>
        <w:fldChar w:fldCharType="begin"/>
      </w:r>
      <w:r>
        <w:rPr>
          <w:rFonts w:hint="default"/>
          <w:sz w:val="22"/>
          <w:szCs w:val="24"/>
        </w:rPr>
        <w:instrText xml:space="preserve"> PAGEREF _Toc28354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170B9C17">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_Toc29406 </w:instrText>
      </w:r>
      <w:r>
        <w:rPr>
          <w:rFonts w:hint="default" w:cs="宋体"/>
          <w:spacing w:val="-6"/>
          <w:sz w:val="22"/>
          <w:szCs w:val="44"/>
        </w:rPr>
        <w:fldChar w:fldCharType="separate"/>
      </w:r>
      <w:r>
        <w:rPr>
          <w:rFonts w:hint="default" w:cs="Times New Roman"/>
          <w:sz w:val="22"/>
          <w:szCs w:val="21"/>
          <w:lang w:val="en-US" w:eastAsia="zh-CN"/>
        </w:rPr>
        <w:t>4.技术违规处理</w:t>
      </w:r>
      <w:r>
        <w:rPr>
          <w:rFonts w:hint="default"/>
          <w:sz w:val="22"/>
          <w:szCs w:val="24"/>
        </w:rPr>
        <w:tab/>
      </w:r>
      <w:r>
        <w:rPr>
          <w:rFonts w:hint="default"/>
          <w:sz w:val="22"/>
          <w:szCs w:val="24"/>
        </w:rPr>
        <w:fldChar w:fldCharType="begin"/>
      </w:r>
      <w:r>
        <w:rPr>
          <w:rFonts w:hint="default"/>
          <w:sz w:val="22"/>
          <w:szCs w:val="24"/>
        </w:rPr>
        <w:instrText xml:space="preserve"> PAGEREF _Toc29406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4F636456">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_Toc23669 </w:instrText>
      </w:r>
      <w:r>
        <w:rPr>
          <w:rFonts w:hint="default" w:cs="宋体"/>
          <w:spacing w:val="-6"/>
          <w:sz w:val="22"/>
          <w:szCs w:val="44"/>
        </w:rPr>
        <w:fldChar w:fldCharType="separate"/>
      </w:r>
      <w:r>
        <w:rPr>
          <w:rFonts w:hint="default" w:cs="Times New Roman"/>
          <w:sz w:val="22"/>
          <w:szCs w:val="21"/>
          <w:lang w:val="en-US" w:eastAsia="zh-CN"/>
        </w:rPr>
        <w:t>5.问题或争议处理</w:t>
      </w:r>
      <w:r>
        <w:rPr>
          <w:rFonts w:hint="default"/>
          <w:sz w:val="22"/>
          <w:szCs w:val="24"/>
        </w:rPr>
        <w:tab/>
      </w:r>
      <w:r>
        <w:rPr>
          <w:rFonts w:hint="default"/>
          <w:sz w:val="22"/>
          <w:szCs w:val="24"/>
        </w:rPr>
        <w:fldChar w:fldCharType="begin"/>
      </w:r>
      <w:r>
        <w:rPr>
          <w:rFonts w:hint="default"/>
          <w:sz w:val="22"/>
          <w:szCs w:val="24"/>
        </w:rPr>
        <w:instrText xml:space="preserve"> PAGEREF _Toc23669 \h </w:instrText>
      </w:r>
      <w:r>
        <w:rPr>
          <w:rFonts w:hint="default"/>
          <w:sz w:val="22"/>
          <w:szCs w:val="24"/>
        </w:rPr>
        <w:fldChar w:fldCharType="separate"/>
      </w:r>
      <w:r>
        <w:rPr>
          <w:rFonts w:hint="default"/>
          <w:sz w:val="22"/>
          <w:szCs w:val="24"/>
        </w:rPr>
        <w:t>5</w:t>
      </w:r>
      <w:r>
        <w:rPr>
          <w:rFonts w:hint="default"/>
          <w:sz w:val="22"/>
          <w:szCs w:val="24"/>
        </w:rPr>
        <w:fldChar w:fldCharType="end"/>
      </w:r>
      <w:r>
        <w:rPr>
          <w:rFonts w:hint="default"/>
          <w:sz w:val="22"/>
          <w:szCs w:val="24"/>
        </w:rPr>
        <w:fldChar w:fldCharType="end"/>
      </w:r>
    </w:p>
    <w:p w14:paraId="5A41B0EC">
      <w:pPr>
        <w:pStyle w:val="12"/>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_Toc6747 </w:instrText>
      </w:r>
      <w:r>
        <w:rPr>
          <w:rFonts w:hint="default" w:cs="宋体"/>
          <w:spacing w:val="-6"/>
          <w:sz w:val="22"/>
          <w:szCs w:val="44"/>
        </w:rPr>
        <w:fldChar w:fldCharType="separate"/>
      </w:r>
      <w:r>
        <w:rPr>
          <w:rFonts w:hint="default"/>
          <w:sz w:val="22"/>
          <w:szCs w:val="24"/>
          <w:lang w:val="en-US" w:eastAsia="zh-CN"/>
        </w:rPr>
        <w:t>四、 竞赛场地、设施设备等安排</w:t>
      </w:r>
      <w:r>
        <w:rPr>
          <w:rFonts w:hint="default"/>
          <w:sz w:val="22"/>
          <w:szCs w:val="24"/>
        </w:rPr>
        <w:tab/>
      </w:r>
      <w:r>
        <w:rPr>
          <w:rFonts w:hint="default"/>
          <w:sz w:val="22"/>
          <w:szCs w:val="24"/>
        </w:rPr>
        <w:fldChar w:fldCharType="begin"/>
      </w:r>
      <w:r>
        <w:rPr>
          <w:rFonts w:hint="default"/>
          <w:sz w:val="22"/>
          <w:szCs w:val="24"/>
        </w:rPr>
        <w:instrText xml:space="preserve"> PAGEREF _Toc6747 \h </w:instrText>
      </w:r>
      <w:r>
        <w:rPr>
          <w:rFonts w:hint="default"/>
          <w:sz w:val="22"/>
          <w:szCs w:val="24"/>
        </w:rPr>
        <w:fldChar w:fldCharType="separate"/>
      </w:r>
      <w:r>
        <w:rPr>
          <w:rFonts w:hint="default"/>
          <w:sz w:val="22"/>
          <w:szCs w:val="24"/>
        </w:rPr>
        <w:t>6</w:t>
      </w:r>
      <w:r>
        <w:rPr>
          <w:rFonts w:hint="default"/>
          <w:sz w:val="22"/>
          <w:szCs w:val="24"/>
        </w:rPr>
        <w:fldChar w:fldCharType="end"/>
      </w:r>
      <w:r>
        <w:rPr>
          <w:rFonts w:hint="default"/>
          <w:sz w:val="22"/>
          <w:szCs w:val="24"/>
        </w:rPr>
        <w:fldChar w:fldCharType="end"/>
      </w:r>
    </w:p>
    <w:p w14:paraId="7A91F4D3">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_Toc7000 </w:instrText>
      </w:r>
      <w:r>
        <w:rPr>
          <w:rFonts w:hint="default" w:cs="宋体"/>
          <w:spacing w:val="-6"/>
          <w:sz w:val="22"/>
          <w:szCs w:val="44"/>
        </w:rPr>
        <w:fldChar w:fldCharType="separate"/>
      </w:r>
      <w:r>
        <w:rPr>
          <w:rFonts w:hint="default"/>
          <w:sz w:val="22"/>
          <w:szCs w:val="24"/>
          <w:lang w:val="en-US" w:eastAsia="zh-CN"/>
        </w:rPr>
        <w:t>（一）赛场规格要求</w:t>
      </w:r>
      <w:r>
        <w:rPr>
          <w:rFonts w:hint="default"/>
          <w:sz w:val="22"/>
          <w:szCs w:val="24"/>
        </w:rPr>
        <w:tab/>
      </w:r>
      <w:r>
        <w:rPr>
          <w:rFonts w:hint="default"/>
          <w:sz w:val="22"/>
          <w:szCs w:val="24"/>
        </w:rPr>
        <w:fldChar w:fldCharType="begin"/>
      </w:r>
      <w:r>
        <w:rPr>
          <w:rFonts w:hint="default"/>
          <w:sz w:val="22"/>
          <w:szCs w:val="24"/>
        </w:rPr>
        <w:instrText xml:space="preserve"> PAGEREF _Toc7000 \h </w:instrText>
      </w:r>
      <w:r>
        <w:rPr>
          <w:rFonts w:hint="default"/>
          <w:sz w:val="22"/>
          <w:szCs w:val="24"/>
        </w:rPr>
        <w:fldChar w:fldCharType="separate"/>
      </w:r>
      <w:r>
        <w:rPr>
          <w:rFonts w:hint="default"/>
          <w:sz w:val="22"/>
          <w:szCs w:val="24"/>
        </w:rPr>
        <w:t>6</w:t>
      </w:r>
      <w:r>
        <w:rPr>
          <w:rFonts w:hint="default"/>
          <w:sz w:val="22"/>
          <w:szCs w:val="24"/>
        </w:rPr>
        <w:fldChar w:fldCharType="end"/>
      </w:r>
      <w:r>
        <w:rPr>
          <w:rFonts w:hint="default"/>
          <w:sz w:val="22"/>
          <w:szCs w:val="24"/>
        </w:rPr>
        <w:fldChar w:fldCharType="end"/>
      </w:r>
    </w:p>
    <w:p w14:paraId="1902264D">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_Toc10307 </w:instrText>
      </w:r>
      <w:r>
        <w:rPr>
          <w:rFonts w:hint="default" w:cs="宋体"/>
          <w:spacing w:val="-6"/>
          <w:sz w:val="22"/>
          <w:szCs w:val="44"/>
        </w:rPr>
        <w:fldChar w:fldCharType="separate"/>
      </w:r>
      <w:r>
        <w:rPr>
          <w:rFonts w:hint="default" w:cs="Times New Roman"/>
          <w:sz w:val="22"/>
          <w:szCs w:val="28"/>
          <w:lang w:val="en-US" w:eastAsia="zh-CN"/>
        </w:rPr>
        <w:t>（二）场地设施</w:t>
      </w:r>
      <w:r>
        <w:rPr>
          <w:rFonts w:hint="default"/>
          <w:sz w:val="22"/>
          <w:szCs w:val="24"/>
        </w:rPr>
        <w:tab/>
      </w:r>
      <w:r>
        <w:rPr>
          <w:rFonts w:hint="default"/>
          <w:sz w:val="22"/>
          <w:szCs w:val="24"/>
        </w:rPr>
        <w:fldChar w:fldCharType="begin"/>
      </w:r>
      <w:r>
        <w:rPr>
          <w:rFonts w:hint="default"/>
          <w:sz w:val="22"/>
          <w:szCs w:val="24"/>
        </w:rPr>
        <w:instrText xml:space="preserve"> PAGEREF _Toc10307 \h </w:instrText>
      </w:r>
      <w:r>
        <w:rPr>
          <w:rFonts w:hint="default"/>
          <w:sz w:val="22"/>
          <w:szCs w:val="24"/>
        </w:rPr>
        <w:fldChar w:fldCharType="separate"/>
      </w:r>
      <w:r>
        <w:rPr>
          <w:rFonts w:hint="default"/>
          <w:sz w:val="22"/>
          <w:szCs w:val="24"/>
        </w:rPr>
        <w:t>6</w:t>
      </w:r>
      <w:r>
        <w:rPr>
          <w:rFonts w:hint="default"/>
          <w:sz w:val="22"/>
          <w:szCs w:val="24"/>
        </w:rPr>
        <w:fldChar w:fldCharType="end"/>
      </w:r>
      <w:r>
        <w:rPr>
          <w:rFonts w:hint="default"/>
          <w:sz w:val="22"/>
          <w:szCs w:val="24"/>
        </w:rPr>
        <w:fldChar w:fldCharType="end"/>
      </w:r>
    </w:p>
    <w:p w14:paraId="63045EEF">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_Toc21003 </w:instrText>
      </w:r>
      <w:r>
        <w:rPr>
          <w:rFonts w:hint="default" w:cs="宋体"/>
          <w:spacing w:val="-6"/>
          <w:sz w:val="22"/>
          <w:szCs w:val="44"/>
        </w:rPr>
        <w:fldChar w:fldCharType="separate"/>
      </w:r>
      <w:r>
        <w:rPr>
          <w:rFonts w:hint="default"/>
          <w:sz w:val="22"/>
          <w:szCs w:val="24"/>
          <w:lang w:val="en-US" w:eastAsia="zh-CN"/>
        </w:rPr>
        <w:t>1.场地设施设备清单</w:t>
      </w:r>
      <w:r>
        <w:rPr>
          <w:rFonts w:hint="default"/>
          <w:sz w:val="22"/>
          <w:szCs w:val="24"/>
        </w:rPr>
        <w:tab/>
      </w:r>
      <w:r>
        <w:rPr>
          <w:rFonts w:hint="default"/>
          <w:sz w:val="22"/>
          <w:szCs w:val="24"/>
        </w:rPr>
        <w:fldChar w:fldCharType="begin"/>
      </w:r>
      <w:r>
        <w:rPr>
          <w:rFonts w:hint="default"/>
          <w:sz w:val="22"/>
          <w:szCs w:val="24"/>
        </w:rPr>
        <w:instrText xml:space="preserve"> PAGEREF _Toc21003 \h </w:instrText>
      </w:r>
      <w:r>
        <w:rPr>
          <w:rFonts w:hint="default"/>
          <w:sz w:val="22"/>
          <w:szCs w:val="24"/>
        </w:rPr>
        <w:fldChar w:fldCharType="separate"/>
      </w:r>
      <w:r>
        <w:rPr>
          <w:rFonts w:hint="default"/>
          <w:sz w:val="22"/>
          <w:szCs w:val="24"/>
        </w:rPr>
        <w:t>6</w:t>
      </w:r>
      <w:r>
        <w:rPr>
          <w:rFonts w:hint="default"/>
          <w:sz w:val="22"/>
          <w:szCs w:val="24"/>
        </w:rPr>
        <w:fldChar w:fldCharType="end"/>
      </w:r>
      <w:r>
        <w:rPr>
          <w:rFonts w:hint="default"/>
          <w:sz w:val="22"/>
          <w:szCs w:val="24"/>
        </w:rPr>
        <w:fldChar w:fldCharType="end"/>
      </w:r>
    </w:p>
    <w:p w14:paraId="15C50426">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_Toc8839 </w:instrText>
      </w:r>
      <w:r>
        <w:rPr>
          <w:rFonts w:hint="default" w:cs="宋体"/>
          <w:spacing w:val="-6"/>
          <w:sz w:val="22"/>
          <w:szCs w:val="44"/>
        </w:rPr>
        <w:fldChar w:fldCharType="separate"/>
      </w:r>
      <w:r>
        <w:rPr>
          <w:rFonts w:hint="default" w:cs="Times New Roman"/>
          <w:sz w:val="22"/>
          <w:szCs w:val="21"/>
          <w:lang w:val="en-US" w:eastAsia="zh-CN"/>
        </w:rPr>
        <w:t>2.材料单</w:t>
      </w:r>
      <w:r>
        <w:rPr>
          <w:rFonts w:hint="default"/>
          <w:sz w:val="22"/>
          <w:szCs w:val="24"/>
        </w:rPr>
        <w:tab/>
      </w:r>
      <w:r>
        <w:rPr>
          <w:rFonts w:hint="default"/>
          <w:sz w:val="22"/>
          <w:szCs w:val="24"/>
        </w:rPr>
        <w:fldChar w:fldCharType="begin"/>
      </w:r>
      <w:r>
        <w:rPr>
          <w:rFonts w:hint="default"/>
          <w:sz w:val="22"/>
          <w:szCs w:val="24"/>
        </w:rPr>
        <w:instrText xml:space="preserve"> PAGEREF _Toc8839 \h </w:instrText>
      </w:r>
      <w:r>
        <w:rPr>
          <w:rFonts w:hint="default"/>
          <w:sz w:val="22"/>
          <w:szCs w:val="24"/>
        </w:rPr>
        <w:fldChar w:fldCharType="separate"/>
      </w:r>
      <w:r>
        <w:rPr>
          <w:rFonts w:hint="default"/>
          <w:sz w:val="22"/>
          <w:szCs w:val="24"/>
        </w:rPr>
        <w:t>7</w:t>
      </w:r>
      <w:r>
        <w:rPr>
          <w:rFonts w:hint="default"/>
          <w:sz w:val="22"/>
          <w:szCs w:val="24"/>
        </w:rPr>
        <w:fldChar w:fldCharType="end"/>
      </w:r>
      <w:r>
        <w:rPr>
          <w:rFonts w:hint="default"/>
          <w:sz w:val="22"/>
          <w:szCs w:val="24"/>
        </w:rPr>
        <w:fldChar w:fldCharType="end"/>
      </w:r>
    </w:p>
    <w:p w14:paraId="24739AF8">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_Toc18757 </w:instrText>
      </w:r>
      <w:r>
        <w:rPr>
          <w:rFonts w:hint="default" w:cs="宋体"/>
          <w:spacing w:val="-6"/>
          <w:sz w:val="22"/>
          <w:szCs w:val="44"/>
        </w:rPr>
        <w:fldChar w:fldCharType="separate"/>
      </w:r>
      <w:r>
        <w:rPr>
          <w:rFonts w:hint="default" w:cs="Times New Roman"/>
          <w:sz w:val="22"/>
          <w:szCs w:val="21"/>
          <w:lang w:val="en-US" w:eastAsia="zh-CN"/>
        </w:rPr>
        <w:t>3.选手自备的设备和工具</w:t>
      </w:r>
      <w:r>
        <w:rPr>
          <w:rFonts w:hint="default"/>
          <w:sz w:val="22"/>
          <w:szCs w:val="24"/>
        </w:rPr>
        <w:tab/>
      </w:r>
      <w:r>
        <w:rPr>
          <w:rFonts w:hint="default"/>
          <w:sz w:val="22"/>
          <w:szCs w:val="24"/>
        </w:rPr>
        <w:fldChar w:fldCharType="begin"/>
      </w:r>
      <w:r>
        <w:rPr>
          <w:rFonts w:hint="default"/>
          <w:sz w:val="22"/>
          <w:szCs w:val="24"/>
        </w:rPr>
        <w:instrText xml:space="preserve"> PAGEREF _Toc18757 \h </w:instrText>
      </w:r>
      <w:r>
        <w:rPr>
          <w:rFonts w:hint="default"/>
          <w:sz w:val="22"/>
          <w:szCs w:val="24"/>
        </w:rPr>
        <w:fldChar w:fldCharType="separate"/>
      </w:r>
      <w:r>
        <w:rPr>
          <w:rFonts w:hint="default"/>
          <w:sz w:val="22"/>
          <w:szCs w:val="24"/>
        </w:rPr>
        <w:t>7</w:t>
      </w:r>
      <w:r>
        <w:rPr>
          <w:rFonts w:hint="default"/>
          <w:sz w:val="22"/>
          <w:szCs w:val="24"/>
        </w:rPr>
        <w:fldChar w:fldCharType="end"/>
      </w:r>
      <w:r>
        <w:rPr>
          <w:rFonts w:hint="default"/>
          <w:sz w:val="22"/>
          <w:szCs w:val="24"/>
        </w:rPr>
        <w:fldChar w:fldCharType="end"/>
      </w:r>
    </w:p>
    <w:p w14:paraId="7E2FBF29">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_Toc18278 </w:instrText>
      </w:r>
      <w:r>
        <w:rPr>
          <w:rFonts w:hint="default" w:cs="宋体"/>
          <w:spacing w:val="-6"/>
          <w:sz w:val="22"/>
          <w:szCs w:val="44"/>
        </w:rPr>
        <w:fldChar w:fldCharType="separate"/>
      </w:r>
      <w:r>
        <w:rPr>
          <w:rFonts w:hint="default" w:cs="Times New Roman"/>
          <w:sz w:val="22"/>
          <w:szCs w:val="21"/>
          <w:lang w:val="en-US" w:eastAsia="zh-CN"/>
        </w:rPr>
        <w:t>4.赛场禁止自带使用的设备、工具和材料</w:t>
      </w:r>
      <w:r>
        <w:rPr>
          <w:rFonts w:hint="default"/>
          <w:sz w:val="22"/>
          <w:szCs w:val="24"/>
        </w:rPr>
        <w:tab/>
      </w:r>
      <w:r>
        <w:rPr>
          <w:rFonts w:hint="default"/>
          <w:sz w:val="22"/>
          <w:szCs w:val="24"/>
        </w:rPr>
        <w:fldChar w:fldCharType="begin"/>
      </w:r>
      <w:r>
        <w:rPr>
          <w:rFonts w:hint="default"/>
          <w:sz w:val="22"/>
          <w:szCs w:val="24"/>
        </w:rPr>
        <w:instrText xml:space="preserve"> PAGEREF _Toc18278 \h </w:instrText>
      </w:r>
      <w:r>
        <w:rPr>
          <w:rFonts w:hint="default"/>
          <w:sz w:val="22"/>
          <w:szCs w:val="24"/>
        </w:rPr>
        <w:fldChar w:fldCharType="separate"/>
      </w:r>
      <w:r>
        <w:rPr>
          <w:rFonts w:hint="default"/>
          <w:sz w:val="22"/>
          <w:szCs w:val="24"/>
        </w:rPr>
        <w:t>8</w:t>
      </w:r>
      <w:r>
        <w:rPr>
          <w:rFonts w:hint="default"/>
          <w:sz w:val="22"/>
          <w:szCs w:val="24"/>
        </w:rPr>
        <w:fldChar w:fldCharType="end"/>
      </w:r>
      <w:r>
        <w:rPr>
          <w:rFonts w:hint="default"/>
          <w:sz w:val="22"/>
          <w:szCs w:val="24"/>
        </w:rPr>
        <w:fldChar w:fldCharType="end"/>
      </w:r>
    </w:p>
    <w:p w14:paraId="3F1B50B7">
      <w:pPr>
        <w:pStyle w:val="12"/>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_Toc1318 </w:instrText>
      </w:r>
      <w:r>
        <w:rPr>
          <w:rFonts w:hint="default" w:cs="宋体"/>
          <w:spacing w:val="-6"/>
          <w:sz w:val="22"/>
          <w:szCs w:val="44"/>
        </w:rPr>
        <w:fldChar w:fldCharType="separate"/>
      </w:r>
      <w:r>
        <w:rPr>
          <w:rFonts w:hint="default"/>
          <w:sz w:val="22"/>
          <w:szCs w:val="24"/>
        </w:rPr>
        <w:t>五、 健康、安全和环保要求</w:t>
      </w:r>
      <w:r>
        <w:rPr>
          <w:rFonts w:hint="default"/>
          <w:sz w:val="22"/>
          <w:szCs w:val="24"/>
        </w:rPr>
        <w:tab/>
      </w:r>
      <w:r>
        <w:rPr>
          <w:rFonts w:hint="default"/>
          <w:sz w:val="22"/>
          <w:szCs w:val="24"/>
        </w:rPr>
        <w:fldChar w:fldCharType="begin"/>
      </w:r>
      <w:r>
        <w:rPr>
          <w:rFonts w:hint="default"/>
          <w:sz w:val="22"/>
          <w:szCs w:val="24"/>
        </w:rPr>
        <w:instrText xml:space="preserve"> PAGEREF _Toc1318 \h </w:instrText>
      </w:r>
      <w:r>
        <w:rPr>
          <w:rFonts w:hint="default"/>
          <w:sz w:val="22"/>
          <w:szCs w:val="24"/>
        </w:rPr>
        <w:fldChar w:fldCharType="separate"/>
      </w:r>
      <w:r>
        <w:rPr>
          <w:rFonts w:hint="default"/>
          <w:sz w:val="22"/>
          <w:szCs w:val="24"/>
        </w:rPr>
        <w:t>8</w:t>
      </w:r>
      <w:r>
        <w:rPr>
          <w:rFonts w:hint="default"/>
          <w:sz w:val="22"/>
          <w:szCs w:val="24"/>
        </w:rPr>
        <w:fldChar w:fldCharType="end"/>
      </w:r>
      <w:r>
        <w:rPr>
          <w:rFonts w:hint="default"/>
          <w:sz w:val="22"/>
          <w:szCs w:val="24"/>
        </w:rPr>
        <w:fldChar w:fldCharType="end"/>
      </w:r>
    </w:p>
    <w:p w14:paraId="7707BE63">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_Toc13808 </w:instrText>
      </w:r>
      <w:r>
        <w:rPr>
          <w:rFonts w:hint="default" w:cs="宋体"/>
          <w:spacing w:val="-6"/>
          <w:sz w:val="22"/>
          <w:szCs w:val="44"/>
        </w:rPr>
        <w:fldChar w:fldCharType="separate"/>
      </w:r>
      <w:r>
        <w:rPr>
          <w:rFonts w:hint="default" w:cs="Times New Roman"/>
          <w:sz w:val="22"/>
          <w:szCs w:val="28"/>
          <w:lang w:val="en-US" w:eastAsia="zh-CN"/>
        </w:rPr>
        <w:t>（一）赛场预案</w:t>
      </w:r>
      <w:r>
        <w:rPr>
          <w:rFonts w:hint="default"/>
          <w:sz w:val="22"/>
          <w:szCs w:val="24"/>
        </w:rPr>
        <w:tab/>
      </w:r>
      <w:r>
        <w:rPr>
          <w:rFonts w:hint="default"/>
          <w:sz w:val="22"/>
          <w:szCs w:val="24"/>
        </w:rPr>
        <w:fldChar w:fldCharType="begin"/>
      </w:r>
      <w:r>
        <w:rPr>
          <w:rFonts w:hint="default"/>
          <w:sz w:val="22"/>
          <w:szCs w:val="24"/>
        </w:rPr>
        <w:instrText xml:space="preserve"> PAGEREF _Toc13808 \h </w:instrText>
      </w:r>
      <w:r>
        <w:rPr>
          <w:rFonts w:hint="default"/>
          <w:sz w:val="22"/>
          <w:szCs w:val="24"/>
        </w:rPr>
        <w:fldChar w:fldCharType="separate"/>
      </w:r>
      <w:r>
        <w:rPr>
          <w:rFonts w:hint="default"/>
          <w:sz w:val="22"/>
          <w:szCs w:val="24"/>
        </w:rPr>
        <w:t>8</w:t>
      </w:r>
      <w:r>
        <w:rPr>
          <w:rFonts w:hint="default"/>
          <w:sz w:val="22"/>
          <w:szCs w:val="24"/>
        </w:rPr>
        <w:fldChar w:fldCharType="end"/>
      </w:r>
      <w:r>
        <w:rPr>
          <w:rFonts w:hint="default"/>
          <w:sz w:val="22"/>
          <w:szCs w:val="24"/>
        </w:rPr>
        <w:fldChar w:fldCharType="end"/>
      </w:r>
    </w:p>
    <w:p w14:paraId="6F8EBF9F">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_Toc28196 </w:instrText>
      </w:r>
      <w:r>
        <w:rPr>
          <w:rFonts w:hint="default" w:cs="宋体"/>
          <w:spacing w:val="-6"/>
          <w:sz w:val="22"/>
          <w:szCs w:val="44"/>
        </w:rPr>
        <w:fldChar w:fldCharType="separate"/>
      </w:r>
      <w:r>
        <w:rPr>
          <w:rFonts w:hint="default" w:cs="Times New Roman"/>
          <w:sz w:val="22"/>
          <w:szCs w:val="28"/>
          <w:lang w:val="en-US" w:eastAsia="zh-CN"/>
        </w:rPr>
        <w:t>（二）赛项安全</w:t>
      </w:r>
      <w:r>
        <w:rPr>
          <w:rFonts w:hint="default"/>
          <w:sz w:val="22"/>
          <w:szCs w:val="24"/>
        </w:rPr>
        <w:tab/>
      </w:r>
      <w:r>
        <w:rPr>
          <w:rFonts w:hint="default"/>
          <w:sz w:val="22"/>
          <w:szCs w:val="24"/>
        </w:rPr>
        <w:fldChar w:fldCharType="begin"/>
      </w:r>
      <w:r>
        <w:rPr>
          <w:rFonts w:hint="default"/>
          <w:sz w:val="22"/>
          <w:szCs w:val="24"/>
        </w:rPr>
        <w:instrText xml:space="preserve"> PAGEREF _Toc28196 \h </w:instrText>
      </w:r>
      <w:r>
        <w:rPr>
          <w:rFonts w:hint="default"/>
          <w:sz w:val="22"/>
          <w:szCs w:val="24"/>
        </w:rPr>
        <w:fldChar w:fldCharType="separate"/>
      </w:r>
      <w:r>
        <w:rPr>
          <w:rFonts w:hint="default"/>
          <w:sz w:val="22"/>
          <w:szCs w:val="24"/>
        </w:rPr>
        <w:t>9</w:t>
      </w:r>
      <w:r>
        <w:rPr>
          <w:rFonts w:hint="default"/>
          <w:sz w:val="22"/>
          <w:szCs w:val="24"/>
        </w:rPr>
        <w:fldChar w:fldCharType="end"/>
      </w:r>
      <w:r>
        <w:rPr>
          <w:rFonts w:hint="default"/>
          <w:sz w:val="22"/>
          <w:szCs w:val="24"/>
        </w:rPr>
        <w:fldChar w:fldCharType="end"/>
      </w:r>
    </w:p>
    <w:p w14:paraId="35197E9C">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_Toc3013 </w:instrText>
      </w:r>
      <w:r>
        <w:rPr>
          <w:rFonts w:hint="default" w:cs="宋体"/>
          <w:spacing w:val="-6"/>
          <w:sz w:val="22"/>
          <w:szCs w:val="44"/>
        </w:rPr>
        <w:fldChar w:fldCharType="separate"/>
      </w:r>
      <w:r>
        <w:rPr>
          <w:rFonts w:hint="default"/>
          <w:sz w:val="22"/>
          <w:szCs w:val="24"/>
          <w:lang w:val="en-US" w:eastAsia="zh-CN"/>
        </w:rPr>
        <w:t>1.选手安全防护要求</w:t>
      </w:r>
      <w:r>
        <w:rPr>
          <w:rFonts w:hint="default"/>
          <w:sz w:val="22"/>
          <w:szCs w:val="24"/>
        </w:rPr>
        <w:tab/>
      </w:r>
      <w:r>
        <w:rPr>
          <w:rFonts w:hint="default"/>
          <w:sz w:val="22"/>
          <w:szCs w:val="24"/>
        </w:rPr>
        <w:fldChar w:fldCharType="begin"/>
      </w:r>
      <w:r>
        <w:rPr>
          <w:rFonts w:hint="default"/>
          <w:sz w:val="22"/>
          <w:szCs w:val="24"/>
        </w:rPr>
        <w:instrText xml:space="preserve"> PAGEREF _Toc3013 \h </w:instrText>
      </w:r>
      <w:r>
        <w:rPr>
          <w:rFonts w:hint="default"/>
          <w:sz w:val="22"/>
          <w:szCs w:val="24"/>
        </w:rPr>
        <w:fldChar w:fldCharType="separate"/>
      </w:r>
      <w:r>
        <w:rPr>
          <w:rFonts w:hint="default"/>
          <w:sz w:val="22"/>
          <w:szCs w:val="24"/>
        </w:rPr>
        <w:t>9</w:t>
      </w:r>
      <w:r>
        <w:rPr>
          <w:rFonts w:hint="default"/>
          <w:sz w:val="22"/>
          <w:szCs w:val="24"/>
        </w:rPr>
        <w:fldChar w:fldCharType="end"/>
      </w:r>
      <w:r>
        <w:rPr>
          <w:rFonts w:hint="default"/>
          <w:sz w:val="22"/>
          <w:szCs w:val="24"/>
        </w:rPr>
        <w:fldChar w:fldCharType="end"/>
      </w:r>
    </w:p>
    <w:p w14:paraId="1CB33E77">
      <w:pPr>
        <w:pStyle w:val="8"/>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_Toc11863 </w:instrText>
      </w:r>
      <w:r>
        <w:rPr>
          <w:rFonts w:hint="default" w:cs="宋体"/>
          <w:spacing w:val="-6"/>
          <w:sz w:val="22"/>
          <w:szCs w:val="44"/>
        </w:rPr>
        <w:fldChar w:fldCharType="separate"/>
      </w:r>
      <w:r>
        <w:rPr>
          <w:rFonts w:hint="default" w:cs="Times New Roman"/>
          <w:sz w:val="22"/>
          <w:szCs w:val="21"/>
          <w:lang w:val="en-US" w:eastAsia="zh-CN"/>
        </w:rPr>
        <w:t>2.赛事安全要求</w:t>
      </w:r>
      <w:r>
        <w:rPr>
          <w:rFonts w:hint="default"/>
          <w:sz w:val="22"/>
          <w:szCs w:val="24"/>
        </w:rPr>
        <w:tab/>
      </w:r>
      <w:r>
        <w:rPr>
          <w:rFonts w:hint="default"/>
          <w:sz w:val="22"/>
          <w:szCs w:val="24"/>
        </w:rPr>
        <w:fldChar w:fldCharType="begin"/>
      </w:r>
      <w:r>
        <w:rPr>
          <w:rFonts w:hint="default"/>
          <w:sz w:val="22"/>
          <w:szCs w:val="24"/>
        </w:rPr>
        <w:instrText xml:space="preserve"> PAGEREF _Toc11863 \h </w:instrText>
      </w:r>
      <w:r>
        <w:rPr>
          <w:rFonts w:hint="default"/>
          <w:sz w:val="22"/>
          <w:szCs w:val="24"/>
        </w:rPr>
        <w:fldChar w:fldCharType="separate"/>
      </w:r>
      <w:r>
        <w:rPr>
          <w:rFonts w:hint="default"/>
          <w:sz w:val="22"/>
          <w:szCs w:val="24"/>
        </w:rPr>
        <w:t>9</w:t>
      </w:r>
      <w:r>
        <w:rPr>
          <w:rFonts w:hint="default"/>
          <w:sz w:val="22"/>
          <w:szCs w:val="24"/>
        </w:rPr>
        <w:fldChar w:fldCharType="end"/>
      </w:r>
      <w:r>
        <w:rPr>
          <w:rFonts w:hint="default"/>
          <w:sz w:val="22"/>
          <w:szCs w:val="24"/>
        </w:rPr>
        <w:fldChar w:fldCharType="end"/>
      </w:r>
    </w:p>
    <w:p w14:paraId="0313FF3C">
      <w:pPr>
        <w:pStyle w:val="13"/>
        <w:tabs>
          <w:tab w:val="right" w:leader="dot" w:pos="9072"/>
        </w:tabs>
        <w:rPr>
          <w:rFonts w:hint="default"/>
          <w:sz w:val="22"/>
          <w:szCs w:val="24"/>
        </w:rPr>
      </w:pPr>
      <w:r>
        <w:rPr>
          <w:rFonts w:hint="default" w:cs="宋体"/>
          <w:spacing w:val="-6"/>
          <w:sz w:val="22"/>
          <w:szCs w:val="44"/>
        </w:rPr>
        <w:fldChar w:fldCharType="begin"/>
      </w:r>
      <w:r>
        <w:rPr>
          <w:rFonts w:hint="default" w:cs="宋体"/>
          <w:spacing w:val="-6"/>
          <w:sz w:val="22"/>
          <w:szCs w:val="44"/>
        </w:rPr>
        <w:instrText xml:space="preserve"> HYPERLINK \l _Toc10671 </w:instrText>
      </w:r>
      <w:r>
        <w:rPr>
          <w:rFonts w:hint="default" w:cs="宋体"/>
          <w:spacing w:val="-6"/>
          <w:sz w:val="22"/>
          <w:szCs w:val="44"/>
        </w:rPr>
        <w:fldChar w:fldCharType="separate"/>
      </w:r>
      <w:r>
        <w:rPr>
          <w:rFonts w:hint="default" w:cs="Times New Roman"/>
          <w:sz w:val="22"/>
          <w:szCs w:val="28"/>
          <w:lang w:val="en-US" w:eastAsia="zh-CN"/>
        </w:rPr>
        <w:t>（三）绿色环保要求</w:t>
      </w:r>
      <w:r>
        <w:rPr>
          <w:rFonts w:hint="default"/>
          <w:sz w:val="22"/>
          <w:szCs w:val="24"/>
        </w:rPr>
        <w:tab/>
      </w:r>
      <w:r>
        <w:rPr>
          <w:rFonts w:hint="default"/>
          <w:sz w:val="22"/>
          <w:szCs w:val="24"/>
        </w:rPr>
        <w:fldChar w:fldCharType="begin"/>
      </w:r>
      <w:r>
        <w:rPr>
          <w:rFonts w:hint="default"/>
          <w:sz w:val="22"/>
          <w:szCs w:val="24"/>
        </w:rPr>
        <w:instrText xml:space="preserve"> PAGEREF _Toc10671 \h </w:instrText>
      </w:r>
      <w:r>
        <w:rPr>
          <w:rFonts w:hint="default"/>
          <w:sz w:val="22"/>
          <w:szCs w:val="24"/>
        </w:rPr>
        <w:fldChar w:fldCharType="separate"/>
      </w:r>
      <w:r>
        <w:rPr>
          <w:rFonts w:hint="default"/>
          <w:sz w:val="22"/>
          <w:szCs w:val="24"/>
        </w:rPr>
        <w:t>9</w:t>
      </w:r>
      <w:r>
        <w:rPr>
          <w:rFonts w:hint="default"/>
          <w:sz w:val="22"/>
          <w:szCs w:val="24"/>
        </w:rPr>
        <w:fldChar w:fldCharType="end"/>
      </w:r>
      <w:r>
        <w:rPr>
          <w:rFonts w:hint="default"/>
          <w:sz w:val="22"/>
          <w:szCs w:val="24"/>
        </w:rPr>
        <w:fldChar w:fldCharType="end"/>
      </w:r>
    </w:p>
    <w:p w14:paraId="4B3326A3">
      <w:pPr>
        <w:pStyle w:val="12"/>
        <w:tabs>
          <w:tab w:val="right" w:leader="dot" w:pos="9072"/>
        </w:tabs>
        <w:rPr>
          <w:rFonts w:hint="default" w:cs="宋体"/>
          <w:b/>
          <w:spacing w:val="-6"/>
          <w:kern w:val="2"/>
          <w:sz w:val="44"/>
          <w:szCs w:val="44"/>
          <w:lang w:val="en-US" w:eastAsia="zh-CN" w:bidi="ar-SA"/>
        </w:rPr>
      </w:pPr>
      <w:r>
        <w:rPr>
          <w:rFonts w:hint="default"/>
          <w:sz w:val="22"/>
          <w:szCs w:val="24"/>
        </w:rPr>
        <w:fldChar w:fldCharType="end"/>
      </w:r>
    </w:p>
    <w:p w14:paraId="012C48AA">
      <w:pPr>
        <w:pStyle w:val="2"/>
        <w:spacing w:beforeLines="0" w:afterLines="0"/>
        <w:rPr>
          <w:rFonts w:hint="default" w:ascii="宋体" w:hAnsi="宋体" w:cs="宋体"/>
          <w:b/>
          <w:spacing w:val="-6"/>
          <w:sz w:val="44"/>
          <w:szCs w:val="44"/>
        </w:rPr>
        <w:sectPr>
          <w:headerReference r:id="rId3" w:type="default"/>
          <w:pgSz w:w="11906" w:h="16838"/>
          <w:pgMar w:top="1440" w:right="1417" w:bottom="1440" w:left="1417" w:header="851" w:footer="992" w:gutter="0"/>
          <w:lnNumType w:countBy="0" w:distance="360"/>
          <w:pgNumType w:start="1"/>
          <w:cols w:space="720" w:num="1"/>
          <w:titlePg/>
          <w:docGrid w:type="lines" w:linePitch="312" w:charSpace="0"/>
        </w:sectPr>
      </w:pPr>
    </w:p>
    <w:p w14:paraId="0F205BCA">
      <w:pPr>
        <w:pStyle w:val="3"/>
        <w:rPr>
          <w:rFonts w:hint="default"/>
          <w:sz w:val="32"/>
          <w:szCs w:val="24"/>
          <w:lang w:val="en-US" w:eastAsia="zh-CN"/>
        </w:rPr>
      </w:pPr>
      <w:bookmarkStart w:id="0" w:name="_bookmark0"/>
      <w:bookmarkEnd w:id="0"/>
      <w:bookmarkStart w:id="1" w:name="_Toc4040"/>
      <w:bookmarkStart w:id="2" w:name="_Toc8833"/>
      <w:r>
        <w:rPr>
          <w:rFonts w:hint="default"/>
          <w:sz w:val="32"/>
          <w:szCs w:val="24"/>
          <w:lang w:val="en-US" w:eastAsia="zh-CN"/>
        </w:rPr>
        <w:t>一、技术描述</w:t>
      </w:r>
      <w:bookmarkEnd w:id="1"/>
      <w:bookmarkEnd w:id="2"/>
    </w:p>
    <w:p w14:paraId="5A945F1A">
      <w:pPr>
        <w:pStyle w:val="4"/>
        <w:ind w:left="0" w:firstLine="562" w:firstLineChars="200"/>
        <w:rPr>
          <w:rFonts w:hint="default"/>
          <w:sz w:val="28"/>
          <w:szCs w:val="24"/>
          <w:lang w:val="en-US" w:eastAsia="zh-CN"/>
        </w:rPr>
      </w:pPr>
      <w:bookmarkStart w:id="3" w:name="_Toc27434"/>
      <w:bookmarkStart w:id="4" w:name="_Toc8856"/>
      <w:r>
        <w:rPr>
          <w:rFonts w:hint="default"/>
          <w:sz w:val="28"/>
          <w:szCs w:val="24"/>
          <w:lang w:val="en-US" w:eastAsia="zh-CN"/>
        </w:rPr>
        <w:t>(一)项目概要</w:t>
      </w:r>
      <w:bookmarkEnd w:id="3"/>
      <w:bookmarkEnd w:id="4"/>
    </w:p>
    <w:p w14:paraId="39412387">
      <w:pPr>
        <w:pStyle w:val="7"/>
        <w:kinsoku w:val="0"/>
        <w:overflowPunct w:val="0"/>
        <w:snapToGrid w:val="0"/>
        <w:spacing w:before="167"/>
        <w:ind w:firstLine="396" w:firstLineChars="200"/>
        <w:jc w:val="both"/>
        <w:rPr>
          <w:rFonts w:hint="default" w:cs="宋体"/>
          <w:color w:val="auto"/>
          <w:spacing w:val="-6"/>
          <w:sz w:val="21"/>
          <w:szCs w:val="21"/>
          <w:lang w:val="en-US" w:eastAsia="zh-CN"/>
        </w:rPr>
      </w:pPr>
      <w:bookmarkStart w:id="5" w:name="_bookmark1"/>
      <w:bookmarkEnd w:id="5"/>
      <w:r>
        <w:rPr>
          <w:rFonts w:hint="default" w:cs="宋体"/>
          <w:color w:val="auto"/>
          <w:spacing w:val="-6"/>
          <w:sz w:val="21"/>
          <w:szCs w:val="21"/>
          <w:lang w:eastAsia="zh-CN"/>
        </w:rPr>
        <w:t>机电一体化是一项综合性较强的赛项，集机械装调技术、传感器应用技术、气动系统应用技术、</w:t>
      </w:r>
      <w:r>
        <w:rPr>
          <w:rFonts w:hint="default" w:cs="宋体"/>
          <w:color w:val="auto"/>
          <w:spacing w:val="-6"/>
          <w:sz w:val="21"/>
          <w:szCs w:val="21"/>
          <w:lang w:val="en-US" w:eastAsia="zh-CN"/>
        </w:rPr>
        <w:t>PLC编程技术、变频器应用技术、触摸屏技术等多种技术于一体，要求参赛选手在规定的时间内完成设备搭建，PLC程序编写，并完成设备的调试优化工作，满足任务书要求。</w:t>
      </w:r>
    </w:p>
    <w:p w14:paraId="4D63ABDD">
      <w:pPr>
        <w:pStyle w:val="7"/>
        <w:kinsoku w:val="0"/>
        <w:overflowPunct w:val="0"/>
        <w:snapToGrid w:val="0"/>
        <w:spacing w:before="167"/>
        <w:ind w:firstLine="396" w:firstLineChars="200"/>
        <w:jc w:val="both"/>
        <w:rPr>
          <w:rFonts w:hint="default" w:cs="宋体"/>
          <w:color w:val="auto"/>
          <w:spacing w:val="-6"/>
          <w:sz w:val="21"/>
          <w:szCs w:val="21"/>
          <w:lang w:val="en-US" w:eastAsia="zh-CN"/>
        </w:rPr>
      </w:pPr>
      <w:r>
        <w:rPr>
          <w:rFonts w:hint="default" w:cs="宋体"/>
          <w:color w:val="auto"/>
          <w:spacing w:val="-6"/>
          <w:sz w:val="21"/>
          <w:szCs w:val="21"/>
          <w:lang w:val="en-US" w:eastAsia="zh-CN"/>
        </w:rPr>
        <w:t>本文件按照电工职业国家职业技能标准（三级）及以上要求，适当吸收全国职业技能大赛、山西省职业技能大赛相关技术要求编制，含项目技术描述、试题与评判标准、场地设施设备安排、健康安全要求等内容。未尽事宜，将在补充通知或赛前项目技术说明时予以说明。</w:t>
      </w:r>
    </w:p>
    <w:p w14:paraId="02C0F2D2">
      <w:pPr>
        <w:pStyle w:val="4"/>
        <w:ind w:left="0" w:firstLine="562" w:firstLineChars="200"/>
        <w:rPr>
          <w:rFonts w:hint="default"/>
          <w:sz w:val="28"/>
          <w:szCs w:val="24"/>
          <w:lang w:val="en-US" w:eastAsia="zh-CN"/>
        </w:rPr>
      </w:pPr>
      <w:bookmarkStart w:id="6" w:name="_bookmark3"/>
      <w:bookmarkEnd w:id="6"/>
      <w:bookmarkStart w:id="7" w:name="_Toc11582"/>
      <w:bookmarkStart w:id="8" w:name="_Toc8188"/>
      <w:r>
        <w:rPr>
          <w:rFonts w:hint="default"/>
          <w:sz w:val="28"/>
          <w:szCs w:val="24"/>
          <w:lang w:val="en-US" w:eastAsia="zh-CN"/>
        </w:rPr>
        <w:t>（二）基本知识与能力要求</w:t>
      </w:r>
      <w:bookmarkEnd w:id="7"/>
      <w:bookmarkEnd w:id="8"/>
    </w:p>
    <w:p w14:paraId="527BACEE">
      <w:pPr>
        <w:pStyle w:val="7"/>
        <w:kinsoku w:val="0"/>
        <w:overflowPunct w:val="0"/>
        <w:snapToGrid w:val="0"/>
        <w:spacing w:before="167"/>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机电一体化赛项考查选手对电气自动化专业相关知识的综合应用能力，同时要求选手熟悉相关法规与管理规定，身体健康、心理素质良好，团队配合默契，具体要求如下：</w:t>
      </w:r>
    </w:p>
    <w:p w14:paraId="21646395">
      <w:pPr>
        <w:pStyle w:val="7"/>
        <w:kinsoku w:val="0"/>
        <w:overflowPunct w:val="0"/>
        <w:snapToGrid w:val="0"/>
        <w:spacing w:before="167"/>
        <w:ind w:firstLine="396" w:firstLineChars="200"/>
        <w:jc w:val="both"/>
        <w:rPr>
          <w:rFonts w:hint="default" w:cs="Times New Roman"/>
          <w:color w:val="auto"/>
          <w:spacing w:val="-6"/>
          <w:sz w:val="21"/>
          <w:szCs w:val="21"/>
          <w:lang w:val="en-US" w:eastAsia="zh-CN"/>
        </w:rPr>
      </w:pPr>
    </w:p>
    <w:p w14:paraId="7A1C4F15">
      <w:pPr>
        <w:pStyle w:val="7"/>
        <w:kinsoku w:val="0"/>
        <w:overflowPunct w:val="0"/>
        <w:spacing w:line="360" w:lineRule="auto"/>
        <w:ind w:left="435" w:right="248"/>
        <w:jc w:val="center"/>
        <w:rPr>
          <w:rFonts w:hint="default"/>
          <w:sz w:val="21"/>
          <w:szCs w:val="24"/>
        </w:rPr>
      </w:pPr>
      <w:r>
        <w:rPr>
          <w:rFonts w:hint="default"/>
          <w:b/>
          <w:sz w:val="21"/>
          <w:szCs w:val="24"/>
        </w:rPr>
        <w:t xml:space="preserve">表 1 </w:t>
      </w:r>
      <w:r>
        <w:rPr>
          <w:rFonts w:hint="default"/>
          <w:b/>
          <w:sz w:val="21"/>
          <w:szCs w:val="24"/>
          <w:lang w:val="en-US" w:eastAsia="zh-CN"/>
        </w:rPr>
        <w:t>基本知识与</w:t>
      </w:r>
      <w:r>
        <w:rPr>
          <w:rFonts w:hint="default"/>
          <w:b/>
          <w:sz w:val="21"/>
          <w:szCs w:val="24"/>
        </w:rPr>
        <w:t>能力要求</w:t>
      </w:r>
    </w:p>
    <w:tbl>
      <w:tblPr>
        <w:tblStyle w:val="15"/>
        <w:tblW w:w="0" w:type="auto"/>
        <w:tblInd w:w="3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84"/>
        <w:gridCol w:w="7134"/>
      </w:tblGrid>
      <w:tr w14:paraId="2E4B6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57" w:hRule="atLeast"/>
        </w:trPr>
        <w:tc>
          <w:tcPr>
            <w:tcW w:w="8418"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58EB99">
            <w:pPr>
              <w:pStyle w:val="19"/>
              <w:kinsoku w:val="0"/>
              <w:overflowPunct w:val="0"/>
              <w:jc w:val="center"/>
              <w:rPr>
                <w:rFonts w:hint="default" w:cs="宋体"/>
                <w:sz w:val="21"/>
                <w:szCs w:val="21"/>
                <w:lang w:val="en-US" w:eastAsia="zh-CN"/>
              </w:rPr>
            </w:pPr>
            <w:r>
              <w:rPr>
                <w:rFonts w:hint="default" w:cs="宋体"/>
                <w:sz w:val="21"/>
                <w:szCs w:val="21"/>
                <w:lang w:val="en-US" w:eastAsia="zh-CN"/>
              </w:rPr>
              <w:t xml:space="preserve"> 相关要求</w:t>
            </w:r>
          </w:p>
        </w:tc>
      </w:tr>
      <w:tr w14:paraId="1C708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76"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893824">
            <w:pPr>
              <w:pStyle w:val="19"/>
              <w:kinsoku w:val="0"/>
              <w:overflowPunct w:val="0"/>
              <w:jc w:val="center"/>
              <w:rPr>
                <w:rFonts w:hint="default" w:cs="宋体"/>
                <w:sz w:val="21"/>
                <w:szCs w:val="21"/>
              </w:rPr>
            </w:pPr>
            <w:r>
              <w:rPr>
                <w:rFonts w:hint="default" w:cs="宋体"/>
                <w:sz w:val="21"/>
                <w:szCs w:val="21"/>
              </w:rPr>
              <w:t>1</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C1B9B68">
            <w:pPr>
              <w:pStyle w:val="19"/>
              <w:kinsoku w:val="0"/>
              <w:overflowPunct w:val="0"/>
              <w:rPr>
                <w:rFonts w:hint="default" w:cs="宋体"/>
                <w:sz w:val="21"/>
                <w:szCs w:val="21"/>
              </w:rPr>
            </w:pPr>
            <w:r>
              <w:rPr>
                <w:rFonts w:hint="default" w:cs="宋体"/>
                <w:sz w:val="21"/>
                <w:szCs w:val="21"/>
              </w:rPr>
              <w:t>工作组织与管理</w:t>
            </w:r>
          </w:p>
        </w:tc>
      </w:tr>
      <w:tr w14:paraId="79117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875"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8293D4">
            <w:pPr>
              <w:pStyle w:val="19"/>
              <w:kinsoku w:val="0"/>
              <w:overflowPunct w:val="0"/>
              <w:jc w:val="center"/>
              <w:rPr>
                <w:rFonts w:hint="default" w:cs="宋体"/>
                <w:sz w:val="21"/>
                <w:szCs w:val="21"/>
                <w:lang w:val="en-US" w:eastAsia="zh-CN"/>
              </w:rPr>
            </w:pPr>
            <w:r>
              <w:rPr>
                <w:rFonts w:hint="default" w:cs="宋体"/>
                <w:sz w:val="21"/>
                <w:szCs w:val="21"/>
                <w:lang w:val="en-US" w:eastAsia="zh-CN"/>
              </w:rPr>
              <w:t>基本知识</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1A3FB51">
            <w:pPr>
              <w:pStyle w:val="19"/>
              <w:kinsoku w:val="0"/>
              <w:overflowPunct w:val="0"/>
              <w:rPr>
                <w:rFonts w:hint="default" w:cs="宋体"/>
                <w:sz w:val="21"/>
                <w:szCs w:val="21"/>
                <w:lang w:eastAsia="zh-CN"/>
              </w:rPr>
            </w:pPr>
            <w:r>
              <w:rPr>
                <w:rFonts w:hint="default" w:cs="宋体"/>
                <w:sz w:val="21"/>
                <w:szCs w:val="21"/>
              </w:rPr>
              <w:t>-</w:t>
            </w:r>
            <w:r>
              <w:rPr>
                <w:rFonts w:hint="default" w:cs="宋体"/>
                <w:sz w:val="21"/>
                <w:szCs w:val="21"/>
                <w:lang w:val="en-US" w:eastAsia="zh-CN"/>
              </w:rPr>
              <w:t>电工、电气自动化相关</w:t>
            </w:r>
            <w:r>
              <w:rPr>
                <w:rFonts w:hint="default" w:cs="宋体"/>
                <w:sz w:val="21"/>
                <w:szCs w:val="21"/>
              </w:rPr>
              <w:t>安全法规</w:t>
            </w:r>
            <w:r>
              <w:rPr>
                <w:rFonts w:hint="default" w:cs="宋体"/>
                <w:sz w:val="21"/>
                <w:szCs w:val="21"/>
                <w:lang w:eastAsia="zh-CN"/>
              </w:rPr>
              <w:t>；</w:t>
            </w:r>
          </w:p>
          <w:p w14:paraId="715102E5">
            <w:pPr>
              <w:pStyle w:val="19"/>
              <w:kinsoku w:val="0"/>
              <w:overflowPunct w:val="0"/>
              <w:rPr>
                <w:rFonts w:hint="default" w:cs="宋体"/>
                <w:sz w:val="21"/>
                <w:szCs w:val="21"/>
                <w:lang w:eastAsia="zh-CN"/>
              </w:rPr>
            </w:pPr>
            <w:r>
              <w:rPr>
                <w:rFonts w:hint="default" w:cs="宋体"/>
                <w:sz w:val="21"/>
                <w:szCs w:val="21"/>
              </w:rPr>
              <w:t>-安全用电工作的原则</w:t>
            </w:r>
            <w:r>
              <w:rPr>
                <w:rFonts w:hint="default" w:cs="宋体"/>
                <w:sz w:val="21"/>
                <w:szCs w:val="21"/>
                <w:lang w:eastAsia="zh-CN"/>
              </w:rPr>
              <w:t>；</w:t>
            </w:r>
          </w:p>
          <w:p w14:paraId="15DBEA49">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实训室“7S”管理规定；</w:t>
            </w:r>
          </w:p>
        </w:tc>
      </w:tr>
      <w:tr w14:paraId="0B2AB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257"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1FE033">
            <w:pPr>
              <w:pStyle w:val="19"/>
              <w:kinsoku w:val="0"/>
              <w:overflowPunct w:val="0"/>
              <w:jc w:val="center"/>
              <w:rPr>
                <w:rFonts w:hint="default" w:cs="宋体"/>
                <w:sz w:val="21"/>
                <w:szCs w:val="21"/>
                <w:lang w:val="en-US" w:eastAsia="zh-CN"/>
              </w:rPr>
            </w:pPr>
          </w:p>
          <w:p w14:paraId="5E851C01">
            <w:pPr>
              <w:pStyle w:val="19"/>
              <w:kinsoku w:val="0"/>
              <w:overflowPunct w:val="0"/>
              <w:jc w:val="center"/>
              <w:rPr>
                <w:rFonts w:hint="default" w:cs="宋体"/>
                <w:sz w:val="21"/>
                <w:szCs w:val="21"/>
                <w:lang w:val="en-US" w:eastAsia="zh-CN"/>
              </w:rPr>
            </w:pPr>
            <w:r>
              <w:rPr>
                <w:rFonts w:hint="default" w:cs="宋体"/>
                <w:sz w:val="21"/>
                <w:szCs w:val="21"/>
                <w:lang w:val="en-US" w:eastAsia="zh-CN"/>
              </w:rPr>
              <w:t>工作能力</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2D6BFC">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严格遵守相关法规和安全管理制度，遵照机电一体化赛项相关技术标准进行比赛；</w:t>
            </w:r>
          </w:p>
          <w:p w14:paraId="4C5208E5">
            <w:pPr>
              <w:pStyle w:val="19"/>
              <w:kinsoku w:val="0"/>
              <w:overflowPunct w:val="0"/>
              <w:rPr>
                <w:rFonts w:hint="default" w:cs="宋体"/>
                <w:sz w:val="21"/>
                <w:szCs w:val="21"/>
              </w:rPr>
            </w:pPr>
            <w:r>
              <w:rPr>
                <w:rFonts w:hint="default" w:cs="宋体"/>
                <w:sz w:val="21"/>
                <w:szCs w:val="21"/>
              </w:rPr>
              <w:t xml:space="preserve">-布置并维护安全、整洁和高效的工作区域； </w:t>
            </w:r>
          </w:p>
          <w:p w14:paraId="43C58747">
            <w:pPr>
              <w:pStyle w:val="19"/>
              <w:kinsoku w:val="0"/>
              <w:overflowPunct w:val="0"/>
              <w:rPr>
                <w:rFonts w:hint="default" w:cs="宋体"/>
                <w:sz w:val="21"/>
                <w:szCs w:val="21"/>
              </w:rPr>
            </w:pPr>
            <w:r>
              <w:rPr>
                <w:rFonts w:hint="default" w:cs="宋体"/>
                <w:sz w:val="21"/>
                <w:szCs w:val="21"/>
              </w:rPr>
              <w:t>-合理安排工作以达到效率最大化和干扰最小化；</w:t>
            </w:r>
          </w:p>
          <w:p w14:paraId="285AA79A">
            <w:pPr>
              <w:pStyle w:val="19"/>
              <w:kinsoku w:val="0"/>
              <w:overflowPunct w:val="0"/>
              <w:rPr>
                <w:rFonts w:hint="default" w:cs="宋体"/>
                <w:sz w:val="21"/>
                <w:szCs w:val="21"/>
              </w:rPr>
            </w:pPr>
            <w:r>
              <w:rPr>
                <w:rFonts w:hint="default" w:cs="宋体"/>
                <w:sz w:val="21"/>
                <w:szCs w:val="21"/>
              </w:rPr>
              <w:t>-团队合作</w:t>
            </w:r>
            <w:r>
              <w:rPr>
                <w:rFonts w:hint="default" w:cs="宋体"/>
                <w:sz w:val="21"/>
                <w:szCs w:val="21"/>
                <w:lang w:eastAsia="zh-CN"/>
              </w:rPr>
              <w:t>默契</w:t>
            </w:r>
            <w:r>
              <w:rPr>
                <w:rFonts w:hint="default" w:cs="宋体"/>
                <w:sz w:val="21"/>
                <w:szCs w:val="21"/>
              </w:rPr>
              <w:t>。</w:t>
            </w:r>
          </w:p>
        </w:tc>
      </w:tr>
      <w:tr w14:paraId="58443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17"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D5E185">
            <w:pPr>
              <w:pStyle w:val="19"/>
              <w:kinsoku w:val="0"/>
              <w:overflowPunct w:val="0"/>
              <w:jc w:val="center"/>
              <w:rPr>
                <w:rFonts w:hint="default" w:cs="宋体"/>
                <w:sz w:val="21"/>
                <w:szCs w:val="21"/>
              </w:rPr>
            </w:pPr>
            <w:r>
              <w:rPr>
                <w:rFonts w:hint="default" w:cs="宋体"/>
                <w:sz w:val="21"/>
                <w:szCs w:val="21"/>
              </w:rPr>
              <w:t>2</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127752">
            <w:pPr>
              <w:pStyle w:val="19"/>
              <w:kinsoku w:val="0"/>
              <w:overflowPunct w:val="0"/>
              <w:rPr>
                <w:rFonts w:hint="default" w:cs="宋体"/>
                <w:spacing w:val="-17"/>
                <w:sz w:val="21"/>
                <w:szCs w:val="21"/>
              </w:rPr>
            </w:pPr>
            <w:r>
              <w:rPr>
                <w:rFonts w:hint="default" w:cs="宋体"/>
                <w:sz w:val="21"/>
                <w:szCs w:val="21"/>
              </w:rPr>
              <w:t>交流与人际沟通</w:t>
            </w:r>
          </w:p>
        </w:tc>
      </w:tr>
      <w:tr w14:paraId="52993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041"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EA853F">
            <w:pPr>
              <w:pStyle w:val="19"/>
              <w:kinsoku w:val="0"/>
              <w:overflowPunct w:val="0"/>
              <w:jc w:val="center"/>
              <w:rPr>
                <w:rFonts w:hint="default" w:cs="宋体"/>
                <w:sz w:val="21"/>
                <w:szCs w:val="21"/>
                <w:lang w:val="en-US" w:eastAsia="zh-CN"/>
              </w:rPr>
            </w:pPr>
            <w:r>
              <w:rPr>
                <w:rFonts w:hint="default" w:cs="宋体"/>
                <w:sz w:val="21"/>
                <w:szCs w:val="21"/>
                <w:lang w:val="en-US" w:eastAsia="zh-CN"/>
              </w:rPr>
              <w:t>基本知识</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0B9B222">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建立和维护有效沟通的必要性；</w:t>
            </w:r>
          </w:p>
          <w:p w14:paraId="18453046">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沟通方法与技巧；</w:t>
            </w:r>
          </w:p>
          <w:p w14:paraId="1652266E">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有效沟通的核心内涵；</w:t>
            </w:r>
          </w:p>
        </w:tc>
      </w:tr>
      <w:tr w14:paraId="25B52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416"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CE03958">
            <w:pPr>
              <w:pStyle w:val="19"/>
              <w:kinsoku w:val="0"/>
              <w:overflowPunct w:val="0"/>
              <w:jc w:val="center"/>
              <w:rPr>
                <w:rFonts w:hint="default" w:cs="宋体"/>
                <w:sz w:val="21"/>
                <w:szCs w:val="21"/>
                <w:lang w:val="en-US" w:eastAsia="zh-CN"/>
              </w:rPr>
            </w:pPr>
          </w:p>
          <w:p w14:paraId="405FD57B">
            <w:pPr>
              <w:pStyle w:val="19"/>
              <w:kinsoku w:val="0"/>
              <w:overflowPunct w:val="0"/>
              <w:jc w:val="both"/>
              <w:rPr>
                <w:rFonts w:hint="default" w:cs="宋体"/>
                <w:sz w:val="21"/>
                <w:szCs w:val="21"/>
                <w:lang w:val="en-US" w:eastAsia="zh-CN"/>
              </w:rPr>
            </w:pPr>
            <w:r>
              <w:rPr>
                <w:rFonts w:hint="default" w:cs="宋体"/>
                <w:sz w:val="21"/>
                <w:szCs w:val="21"/>
                <w:lang w:val="en-US" w:eastAsia="zh-CN"/>
              </w:rPr>
              <w:t>工作能力</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C569BA">
            <w:pPr>
              <w:pStyle w:val="19"/>
              <w:kinsoku w:val="0"/>
              <w:overflowPunct w:val="0"/>
              <w:jc w:val="both"/>
              <w:rPr>
                <w:rFonts w:hint="default" w:cs="宋体"/>
                <w:spacing w:val="-11"/>
                <w:sz w:val="21"/>
                <w:szCs w:val="21"/>
                <w:lang w:eastAsia="zh-CN"/>
              </w:rPr>
            </w:pPr>
            <w:r>
              <w:rPr>
                <w:rFonts w:hint="default" w:cs="宋体"/>
                <w:sz w:val="21"/>
                <w:szCs w:val="21"/>
              </w:rPr>
              <w:t>-</w:t>
            </w:r>
            <w:r>
              <w:rPr>
                <w:rFonts w:hint="default" w:cs="宋体"/>
                <w:spacing w:val="-11"/>
                <w:sz w:val="21"/>
                <w:szCs w:val="21"/>
                <w:lang w:eastAsia="zh-CN"/>
              </w:rPr>
              <w:t>通过阅读任务书，理解并提取赛项相关信息；</w:t>
            </w:r>
          </w:p>
          <w:p w14:paraId="1D0D4411">
            <w:pPr>
              <w:pStyle w:val="19"/>
              <w:kinsoku w:val="0"/>
              <w:overflowPunct w:val="0"/>
              <w:jc w:val="both"/>
              <w:rPr>
                <w:rFonts w:hint="default" w:cs="宋体"/>
                <w:spacing w:val="-11"/>
                <w:sz w:val="21"/>
                <w:szCs w:val="21"/>
                <w:lang w:eastAsia="zh-CN"/>
              </w:rPr>
            </w:pPr>
            <w:r>
              <w:rPr>
                <w:rFonts w:hint="default" w:cs="宋体"/>
                <w:sz w:val="21"/>
                <w:szCs w:val="21"/>
              </w:rPr>
              <w:t>-</w:t>
            </w:r>
            <w:r>
              <w:rPr>
                <w:rFonts w:hint="default" w:cs="宋体"/>
                <w:spacing w:val="-11"/>
                <w:sz w:val="21"/>
                <w:szCs w:val="21"/>
                <w:lang w:eastAsia="zh-CN"/>
              </w:rPr>
              <w:t>成员通过简单有效的交流与沟通，明确各自职责，细化分工；</w:t>
            </w:r>
          </w:p>
          <w:p w14:paraId="42738E89">
            <w:pPr>
              <w:pStyle w:val="19"/>
              <w:kinsoku w:val="0"/>
              <w:overflowPunct w:val="0"/>
              <w:jc w:val="both"/>
              <w:rPr>
                <w:rFonts w:hint="default" w:cs="宋体"/>
                <w:spacing w:val="-11"/>
                <w:sz w:val="21"/>
                <w:szCs w:val="21"/>
                <w:lang w:eastAsia="zh-CN"/>
              </w:rPr>
            </w:pPr>
            <w:r>
              <w:rPr>
                <w:rFonts w:hint="default" w:cs="宋体"/>
                <w:sz w:val="21"/>
                <w:szCs w:val="21"/>
              </w:rPr>
              <w:t>-</w:t>
            </w:r>
            <w:r>
              <w:rPr>
                <w:rFonts w:hint="default" w:cs="宋体"/>
                <w:spacing w:val="-11"/>
                <w:sz w:val="21"/>
                <w:szCs w:val="21"/>
                <w:lang w:eastAsia="zh-CN"/>
              </w:rPr>
              <w:t>及时交流，不断改进赛项成果；</w:t>
            </w:r>
          </w:p>
          <w:p w14:paraId="53B968EA">
            <w:pPr>
              <w:pStyle w:val="19"/>
              <w:kinsoku w:val="0"/>
              <w:overflowPunct w:val="0"/>
              <w:jc w:val="both"/>
              <w:rPr>
                <w:rFonts w:hint="default" w:cs="宋体"/>
                <w:spacing w:val="-11"/>
                <w:sz w:val="21"/>
                <w:szCs w:val="21"/>
                <w:lang w:val="en-US" w:eastAsia="zh-CN"/>
              </w:rPr>
            </w:pPr>
            <w:r>
              <w:rPr>
                <w:rFonts w:hint="default" w:cs="宋体"/>
                <w:sz w:val="21"/>
                <w:szCs w:val="21"/>
              </w:rPr>
              <w:t>-</w:t>
            </w:r>
            <w:r>
              <w:rPr>
                <w:rFonts w:hint="default" w:cs="宋体"/>
                <w:sz w:val="21"/>
                <w:szCs w:val="21"/>
                <w:lang w:val="en-US" w:eastAsia="zh-CN"/>
              </w:rPr>
              <w:t>与竞赛相关工作人员进行积极有效沟通，保证竞赛顺利开展；</w:t>
            </w:r>
          </w:p>
        </w:tc>
      </w:tr>
      <w:tr w14:paraId="3338D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50"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700F1E">
            <w:pPr>
              <w:pStyle w:val="19"/>
              <w:kinsoku w:val="0"/>
              <w:overflowPunct w:val="0"/>
              <w:jc w:val="center"/>
              <w:rPr>
                <w:rFonts w:hint="default" w:cs="宋体"/>
                <w:sz w:val="21"/>
                <w:szCs w:val="21"/>
              </w:rPr>
            </w:pPr>
            <w:r>
              <w:rPr>
                <w:rFonts w:hint="default" w:cs="宋体"/>
                <w:sz w:val="21"/>
                <w:szCs w:val="21"/>
              </w:rPr>
              <w:t>3</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05CEAA">
            <w:pPr>
              <w:pStyle w:val="19"/>
              <w:kinsoku w:val="0"/>
              <w:overflowPunct w:val="0"/>
              <w:rPr>
                <w:rFonts w:hint="default" w:cs="宋体"/>
                <w:spacing w:val="-16"/>
                <w:sz w:val="21"/>
                <w:szCs w:val="21"/>
              </w:rPr>
            </w:pPr>
            <w:r>
              <w:rPr>
                <w:rFonts w:hint="default" w:cs="宋体"/>
                <w:sz w:val="21"/>
                <w:szCs w:val="21"/>
              </w:rPr>
              <w:t>机电一体化系统的开发</w:t>
            </w:r>
          </w:p>
        </w:tc>
      </w:tr>
      <w:tr w14:paraId="30457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162"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0BF7E37">
            <w:pPr>
              <w:pStyle w:val="19"/>
              <w:kinsoku w:val="0"/>
              <w:overflowPunct w:val="0"/>
              <w:jc w:val="center"/>
              <w:rPr>
                <w:rFonts w:hint="default" w:cs="宋体"/>
                <w:sz w:val="21"/>
                <w:szCs w:val="21"/>
                <w:lang w:val="en-US" w:eastAsia="zh-CN"/>
              </w:rPr>
            </w:pPr>
            <w:r>
              <w:rPr>
                <w:rFonts w:hint="default" w:cs="宋体"/>
                <w:sz w:val="21"/>
                <w:szCs w:val="21"/>
                <w:lang w:val="en-US" w:eastAsia="zh-CN"/>
              </w:rPr>
              <w:t>基本知识</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974BF67">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机电一体化系统的发展现状及未来趋势；</w:t>
            </w:r>
          </w:p>
          <w:p w14:paraId="1C146281">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机电一体化系统的组成机构与技术融合；</w:t>
            </w:r>
          </w:p>
          <w:p w14:paraId="79BE0BDA">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可编程控制器的应用；</w:t>
            </w:r>
          </w:p>
          <w:p w14:paraId="242748C8">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电动机控制系统的应用；</w:t>
            </w:r>
          </w:p>
          <w:p w14:paraId="45915D55">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触摸屏技术、传感器技术、气动技术的应用；</w:t>
            </w:r>
          </w:p>
          <w:p w14:paraId="6712F5CD">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机电一体化设备的运行调试和故障排除；</w:t>
            </w:r>
          </w:p>
        </w:tc>
      </w:tr>
      <w:tr w14:paraId="754C0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435" w:hRule="atLeast"/>
        </w:trPr>
        <w:tc>
          <w:tcPr>
            <w:tcW w:w="128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89FF702">
            <w:pPr>
              <w:pStyle w:val="19"/>
              <w:kinsoku w:val="0"/>
              <w:overflowPunct w:val="0"/>
              <w:jc w:val="center"/>
              <w:rPr>
                <w:rFonts w:hint="default" w:cs="宋体"/>
                <w:sz w:val="21"/>
                <w:szCs w:val="21"/>
                <w:lang w:val="en-US" w:eastAsia="zh-CN"/>
              </w:rPr>
            </w:pPr>
            <w:r>
              <w:rPr>
                <w:rFonts w:hint="default" w:cs="宋体"/>
                <w:sz w:val="21"/>
                <w:szCs w:val="21"/>
                <w:lang w:val="en-US" w:eastAsia="zh-CN"/>
              </w:rPr>
              <w:t>工作能力</w:t>
            </w:r>
          </w:p>
        </w:tc>
        <w:tc>
          <w:tcPr>
            <w:tcW w:w="7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0DB50B">
            <w:pPr>
              <w:pStyle w:val="19"/>
              <w:kinsoku w:val="0"/>
              <w:overflowPunct w:val="0"/>
              <w:rPr>
                <w:rFonts w:hint="default" w:cs="宋体"/>
                <w:sz w:val="21"/>
                <w:szCs w:val="21"/>
              </w:rPr>
            </w:pPr>
            <w:r>
              <w:rPr>
                <w:rFonts w:hint="default" w:cs="宋体"/>
                <w:sz w:val="21"/>
                <w:szCs w:val="21"/>
              </w:rPr>
              <w:t>-</w:t>
            </w:r>
            <w:r>
              <w:rPr>
                <w:rFonts w:hint="default" w:cs="宋体"/>
                <w:sz w:val="21"/>
                <w:szCs w:val="21"/>
                <w:lang w:val="en-US" w:eastAsia="zh-CN"/>
              </w:rPr>
              <w:t>根据竞赛任务要求，</w:t>
            </w:r>
            <w:r>
              <w:rPr>
                <w:rFonts w:hint="default" w:cs="宋体"/>
                <w:sz w:val="21"/>
                <w:szCs w:val="21"/>
              </w:rPr>
              <w:t>正确安装机械、电气及传感</w:t>
            </w:r>
            <w:r>
              <w:rPr>
                <w:rFonts w:hint="default" w:cs="宋体"/>
                <w:sz w:val="21"/>
                <w:szCs w:val="21"/>
                <w:lang w:val="en-US" w:eastAsia="zh-CN"/>
              </w:rPr>
              <w:t>器、气动</w:t>
            </w:r>
            <w:r>
              <w:rPr>
                <w:rFonts w:hint="default" w:cs="宋体"/>
                <w:sz w:val="21"/>
                <w:szCs w:val="21"/>
              </w:rPr>
              <w:t>系统并对其做必要的调整</w:t>
            </w:r>
            <w:r>
              <w:rPr>
                <w:rFonts w:hint="default" w:cs="宋体"/>
                <w:sz w:val="21"/>
                <w:szCs w:val="21"/>
                <w:lang w:eastAsia="zh-CN"/>
              </w:rPr>
              <w:t>；</w:t>
            </w:r>
          </w:p>
          <w:p w14:paraId="14435D50">
            <w:pPr>
              <w:pStyle w:val="19"/>
              <w:kinsoku w:val="0"/>
              <w:overflowPunct w:val="0"/>
              <w:rPr>
                <w:rFonts w:hint="default" w:cs="宋体"/>
                <w:sz w:val="21"/>
                <w:szCs w:val="21"/>
              </w:rPr>
            </w:pPr>
            <w:r>
              <w:rPr>
                <w:rFonts w:hint="default" w:cs="宋体"/>
                <w:sz w:val="21"/>
                <w:szCs w:val="21"/>
              </w:rPr>
              <w:t>-根据</w:t>
            </w:r>
            <w:r>
              <w:rPr>
                <w:rFonts w:hint="default" w:cs="宋体"/>
                <w:sz w:val="21"/>
                <w:szCs w:val="21"/>
                <w:lang w:val="en-US" w:eastAsia="zh-CN"/>
              </w:rPr>
              <w:t>竞赛内容</w:t>
            </w:r>
            <w:r>
              <w:rPr>
                <w:rFonts w:hint="default" w:cs="宋体"/>
                <w:sz w:val="21"/>
                <w:szCs w:val="21"/>
              </w:rPr>
              <w:t>要求设计</w:t>
            </w:r>
            <w:r>
              <w:rPr>
                <w:rFonts w:hint="default" w:cs="宋体"/>
                <w:sz w:val="21"/>
                <w:szCs w:val="21"/>
                <w:lang w:val="en-US" w:eastAsia="zh-CN"/>
              </w:rPr>
              <w:t>并完成</w:t>
            </w:r>
            <w:r>
              <w:rPr>
                <w:rFonts w:hint="default" w:cs="宋体"/>
                <w:sz w:val="21"/>
                <w:szCs w:val="21"/>
                <w:lang w:eastAsia="zh-CN"/>
              </w:rPr>
              <w:t>电气线路、</w:t>
            </w:r>
            <w:r>
              <w:rPr>
                <w:rFonts w:hint="default" w:cs="宋体"/>
                <w:sz w:val="21"/>
                <w:szCs w:val="21"/>
                <w:lang w:val="en-US" w:eastAsia="zh-CN"/>
              </w:rPr>
              <w:t>气管</w:t>
            </w:r>
            <w:r>
              <w:rPr>
                <w:rFonts w:hint="default" w:cs="宋体"/>
                <w:sz w:val="21"/>
                <w:szCs w:val="21"/>
                <w:lang w:eastAsia="zh-CN"/>
              </w:rPr>
              <w:t>连接</w:t>
            </w:r>
            <w:r>
              <w:rPr>
                <w:rFonts w:hint="default" w:cs="宋体"/>
                <w:sz w:val="21"/>
                <w:szCs w:val="21"/>
              </w:rPr>
              <w:t>；</w:t>
            </w:r>
          </w:p>
          <w:p w14:paraId="00AC0458">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根据相关技术规范，对设备安装工艺进行标准化改进与提升；</w:t>
            </w:r>
          </w:p>
          <w:p w14:paraId="3B539146">
            <w:pPr>
              <w:pStyle w:val="19"/>
              <w:kinsoku w:val="0"/>
              <w:overflowPunct w:val="0"/>
              <w:rPr>
                <w:rFonts w:hint="default" w:cs="宋体"/>
                <w:sz w:val="21"/>
                <w:szCs w:val="21"/>
                <w:lang w:val="en-US" w:eastAsia="zh-CN"/>
              </w:rPr>
            </w:pPr>
            <w:r>
              <w:rPr>
                <w:rFonts w:hint="default" w:cs="宋体"/>
                <w:sz w:val="21"/>
                <w:szCs w:val="21"/>
              </w:rPr>
              <w:t>-</w:t>
            </w:r>
            <w:r>
              <w:rPr>
                <w:rFonts w:hint="default" w:cs="宋体"/>
                <w:sz w:val="21"/>
                <w:szCs w:val="21"/>
                <w:lang w:val="en-US" w:eastAsia="zh-CN"/>
              </w:rPr>
              <w:t>完成PLC、触摸屏程序的编写、完成变频器、传感器参数调整；</w:t>
            </w:r>
          </w:p>
          <w:p w14:paraId="10344876">
            <w:pPr>
              <w:pStyle w:val="19"/>
              <w:kinsoku w:val="0"/>
              <w:overflowPunct w:val="0"/>
              <w:rPr>
                <w:rFonts w:hint="default" w:cs="宋体"/>
                <w:spacing w:val="-9"/>
                <w:sz w:val="21"/>
                <w:szCs w:val="21"/>
                <w:lang w:eastAsia="zh-CN"/>
              </w:rPr>
            </w:pPr>
            <w:r>
              <w:rPr>
                <w:rFonts w:hint="default" w:cs="宋体"/>
                <w:sz w:val="21"/>
                <w:szCs w:val="21"/>
              </w:rPr>
              <w:t>-根据</w:t>
            </w:r>
            <w:r>
              <w:rPr>
                <w:rFonts w:hint="default" w:cs="宋体"/>
                <w:sz w:val="21"/>
                <w:szCs w:val="21"/>
                <w:lang w:val="en-US" w:eastAsia="zh-CN"/>
              </w:rPr>
              <w:t>竞赛任务要求，对装调完成的系统进行调试与故障排除</w:t>
            </w:r>
            <w:r>
              <w:rPr>
                <w:rFonts w:hint="default" w:cs="宋体"/>
                <w:sz w:val="21"/>
                <w:szCs w:val="21"/>
                <w:lang w:eastAsia="zh-CN"/>
              </w:rPr>
              <w:t>，</w:t>
            </w:r>
            <w:r>
              <w:rPr>
                <w:rFonts w:hint="default" w:cs="宋体"/>
                <w:spacing w:val="-6"/>
                <w:sz w:val="21"/>
                <w:szCs w:val="21"/>
              </w:rPr>
              <w:t>采用适当的分析技巧查找机电一体化系统故障</w:t>
            </w:r>
            <w:r>
              <w:rPr>
                <w:rFonts w:hint="default" w:cs="宋体"/>
                <w:spacing w:val="-6"/>
                <w:sz w:val="21"/>
                <w:szCs w:val="21"/>
                <w:lang w:eastAsia="zh-CN"/>
              </w:rPr>
              <w:t>，</w:t>
            </w:r>
            <w:r>
              <w:rPr>
                <w:rFonts w:hint="default" w:cs="宋体"/>
                <w:spacing w:val="-6"/>
                <w:sz w:val="21"/>
                <w:szCs w:val="21"/>
              </w:rPr>
              <w:t>在短时间</w:t>
            </w:r>
            <w:r>
              <w:rPr>
                <w:rFonts w:hint="default" w:cs="宋体"/>
                <w:spacing w:val="-9"/>
                <w:sz w:val="21"/>
                <w:szCs w:val="21"/>
              </w:rPr>
              <w:t>内</w:t>
            </w:r>
            <w:r>
              <w:rPr>
                <w:rFonts w:hint="default" w:cs="宋体"/>
                <w:spacing w:val="-9"/>
                <w:sz w:val="21"/>
                <w:szCs w:val="21"/>
                <w:lang w:eastAsia="zh-CN"/>
              </w:rPr>
              <w:t>完成排障工作；</w:t>
            </w:r>
          </w:p>
          <w:p w14:paraId="029D8FAF">
            <w:pPr>
              <w:pStyle w:val="19"/>
              <w:kinsoku w:val="0"/>
              <w:overflowPunct w:val="0"/>
              <w:rPr>
                <w:rFonts w:hint="default" w:cs="宋体"/>
                <w:sz w:val="21"/>
                <w:szCs w:val="21"/>
                <w:lang w:eastAsia="zh-CN"/>
              </w:rPr>
            </w:pPr>
            <w:r>
              <w:rPr>
                <w:rFonts w:hint="default" w:cs="宋体"/>
                <w:sz w:val="21"/>
                <w:szCs w:val="21"/>
              </w:rPr>
              <w:t>-</w:t>
            </w:r>
            <w:r>
              <w:rPr>
                <w:rFonts w:hint="default" w:cs="宋体"/>
                <w:spacing w:val="-9"/>
                <w:sz w:val="21"/>
                <w:szCs w:val="21"/>
                <w:lang w:eastAsia="zh-CN"/>
              </w:rPr>
              <w:t>在规定时间内，将系统状态调试到最佳。</w:t>
            </w:r>
          </w:p>
        </w:tc>
      </w:tr>
    </w:tbl>
    <w:p w14:paraId="3CB2EDD9">
      <w:pPr>
        <w:pStyle w:val="3"/>
        <w:rPr>
          <w:rFonts w:hint="default"/>
          <w:sz w:val="32"/>
          <w:szCs w:val="24"/>
          <w:lang w:val="en-US" w:eastAsia="zh-CN"/>
        </w:rPr>
      </w:pPr>
      <w:bookmarkStart w:id="9" w:name="_bookmark4"/>
      <w:bookmarkEnd w:id="9"/>
    </w:p>
    <w:p w14:paraId="541E5D96">
      <w:pPr>
        <w:pStyle w:val="3"/>
        <w:rPr>
          <w:rFonts w:hint="default"/>
          <w:sz w:val="32"/>
          <w:szCs w:val="24"/>
          <w:lang w:val="en-US" w:eastAsia="zh-CN"/>
        </w:rPr>
      </w:pPr>
      <w:bookmarkStart w:id="10" w:name="_Toc22405"/>
      <w:bookmarkStart w:id="11" w:name="_Toc15552"/>
      <w:r>
        <w:rPr>
          <w:rFonts w:hint="default"/>
          <w:sz w:val="32"/>
          <w:szCs w:val="24"/>
          <w:lang w:val="en-US" w:eastAsia="zh-CN"/>
        </w:rPr>
        <w:t>二、试题与评判标准</w:t>
      </w:r>
      <w:bookmarkEnd w:id="10"/>
      <w:bookmarkEnd w:id="11"/>
    </w:p>
    <w:p w14:paraId="45DC3347">
      <w:pPr>
        <w:pStyle w:val="4"/>
        <w:ind w:left="0" w:firstLine="562" w:firstLineChars="200"/>
        <w:rPr>
          <w:rFonts w:hint="default" w:cs="Times New Roman"/>
          <w:sz w:val="28"/>
          <w:szCs w:val="28"/>
          <w:lang w:val="en-US" w:eastAsia="zh-CN"/>
        </w:rPr>
      </w:pPr>
      <w:bookmarkStart w:id="12" w:name="_bookmark5"/>
      <w:bookmarkEnd w:id="12"/>
      <w:bookmarkStart w:id="13" w:name="_Toc32663"/>
      <w:bookmarkStart w:id="14" w:name="_Toc15830"/>
      <w:r>
        <w:rPr>
          <w:rFonts w:hint="default" w:cs="Times New Roman"/>
          <w:sz w:val="28"/>
          <w:szCs w:val="28"/>
          <w:lang w:val="en-US" w:eastAsia="zh-CN"/>
        </w:rPr>
        <w:t>（一）竞赛试题</w:t>
      </w:r>
      <w:bookmarkEnd w:id="13"/>
      <w:bookmarkEnd w:id="14"/>
    </w:p>
    <w:p w14:paraId="7C00C4A7">
      <w:pPr>
        <w:pStyle w:val="5"/>
        <w:spacing w:before="0" w:after="0" w:line="240" w:lineRule="auto"/>
        <w:ind w:firstLine="422" w:firstLineChars="200"/>
        <w:rPr>
          <w:rFonts w:hint="default" w:cs="Times New Roman"/>
          <w:sz w:val="21"/>
          <w:szCs w:val="21"/>
          <w:lang w:val="en-US" w:eastAsia="zh-CN"/>
        </w:rPr>
      </w:pPr>
      <w:bookmarkStart w:id="15" w:name="_Toc12772"/>
      <w:r>
        <w:rPr>
          <w:rFonts w:hint="default" w:cs="Times New Roman"/>
          <w:sz w:val="21"/>
          <w:szCs w:val="21"/>
          <w:lang w:val="en-US" w:eastAsia="zh-CN"/>
        </w:rPr>
        <w:t>1.基本内容</w:t>
      </w:r>
      <w:bookmarkEnd w:id="15"/>
    </w:p>
    <w:p w14:paraId="71911C4E">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机电一体化赛项以YL-235A机电一体化实训平台为载体，</w:t>
      </w:r>
      <w:bookmarkStart w:id="16" w:name="_bookmark6"/>
      <w:bookmarkEnd w:id="16"/>
      <w:r>
        <w:rPr>
          <w:rFonts w:hint="default" w:cs="Times New Roman"/>
          <w:color w:val="auto"/>
          <w:spacing w:val="-6"/>
          <w:sz w:val="21"/>
          <w:szCs w:val="21"/>
          <w:lang w:val="en-US" w:eastAsia="zh-CN"/>
        </w:rPr>
        <w:t>共分为两个模块：</w:t>
      </w:r>
    </w:p>
    <w:p w14:paraId="4FC14122">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模块一：竞赛设备搭建。包含：部件组装、气路连接、电路连接等内容，装配工艺参照机电一体化项目省赛、国赛标准，赛场提供装配图、气路图和稿纸。</w:t>
      </w:r>
    </w:p>
    <w:p w14:paraId="7B245677">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模块二：运行调试与排障。包含：PLC程序的编写、触摸屏程序的编写、变频器参数修改、传感器参数调整、设备最终运行效果的调试、故障的检测与排除等，最终使设备按竞赛任务书要求运行。</w:t>
      </w:r>
    </w:p>
    <w:p w14:paraId="04A9D9B1">
      <w:pPr>
        <w:pStyle w:val="5"/>
        <w:spacing w:before="0" w:after="0" w:line="240" w:lineRule="auto"/>
        <w:ind w:firstLine="422" w:firstLineChars="200"/>
        <w:rPr>
          <w:rFonts w:hint="default" w:cs="Times New Roman"/>
          <w:sz w:val="21"/>
          <w:szCs w:val="21"/>
          <w:lang w:val="en-US" w:eastAsia="zh-CN"/>
        </w:rPr>
      </w:pPr>
      <w:bookmarkStart w:id="17" w:name="_bookmark7"/>
      <w:bookmarkEnd w:id="17"/>
      <w:bookmarkStart w:id="18" w:name="_Toc14206"/>
      <w:r>
        <w:rPr>
          <w:rFonts w:hint="default" w:cs="Times New Roman"/>
          <w:sz w:val="21"/>
          <w:szCs w:val="21"/>
          <w:lang w:val="en-US" w:eastAsia="zh-CN"/>
        </w:rPr>
        <w:t>2.命题方式</w:t>
      </w:r>
      <w:bookmarkEnd w:id="18"/>
    </w:p>
    <w:p w14:paraId="5118BFBE">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竞赛试题以技术文件为参考，结合世界技能大赛、全国选拔赛、历届山西省省赛、历届晋城市职业技能大赛机电一体化赛项试题的考查重点，进行组织命题。</w:t>
      </w:r>
    </w:p>
    <w:p w14:paraId="6950AA44">
      <w:pPr>
        <w:pStyle w:val="5"/>
        <w:spacing w:before="0" w:after="0" w:line="240" w:lineRule="auto"/>
        <w:ind w:firstLine="422" w:firstLineChars="200"/>
        <w:rPr>
          <w:rFonts w:hint="default" w:cs="Times New Roman"/>
          <w:sz w:val="21"/>
          <w:szCs w:val="21"/>
          <w:lang w:val="en-US" w:eastAsia="zh-CN"/>
        </w:rPr>
      </w:pPr>
      <w:bookmarkStart w:id="19" w:name="_bookmark8"/>
      <w:bookmarkEnd w:id="19"/>
      <w:bookmarkStart w:id="20" w:name="_Toc27215"/>
      <w:r>
        <w:rPr>
          <w:rFonts w:hint="default" w:cs="Times New Roman"/>
          <w:sz w:val="21"/>
          <w:szCs w:val="21"/>
          <w:lang w:val="en-US" w:eastAsia="zh-CN"/>
        </w:rPr>
        <w:t>3.竞赛样题</w:t>
      </w:r>
      <w:bookmarkEnd w:id="20"/>
    </w:p>
    <w:p w14:paraId="5716D44F">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(1)比赛前 10 天公布大赛样题，样题内容与大赛现场设备吻合度在80%以上，与竞赛试题吻合度在70%以上。</w:t>
      </w:r>
    </w:p>
    <w:p w14:paraId="1F208B9B">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(2)样题内容包含已知设备的硬件安装布局图、气路连接图，样题任务书及技术规范，不包含比赛现场评分表和评分流程以及接线图或接线表、硬件的技术说明。</w:t>
      </w:r>
    </w:p>
    <w:p w14:paraId="10977E63">
      <w:pPr>
        <w:pStyle w:val="4"/>
        <w:ind w:left="0" w:firstLine="562" w:firstLineChars="200"/>
        <w:rPr>
          <w:rFonts w:hint="default" w:cs="Times New Roman"/>
          <w:sz w:val="28"/>
          <w:szCs w:val="28"/>
          <w:lang w:val="en-US" w:eastAsia="zh-CN"/>
        </w:rPr>
      </w:pPr>
      <w:bookmarkStart w:id="21" w:name="_bookmark9"/>
      <w:bookmarkEnd w:id="21"/>
      <w:bookmarkStart w:id="22" w:name="_Toc26976"/>
      <w:bookmarkStart w:id="23" w:name="_Toc3119"/>
      <w:r>
        <w:rPr>
          <w:rFonts w:hint="default" w:cs="Times New Roman"/>
          <w:sz w:val="28"/>
          <w:szCs w:val="28"/>
          <w:lang w:val="en-US" w:eastAsia="zh-CN"/>
        </w:rPr>
        <w:t>（二）比赛时间及试题具体内容</w:t>
      </w:r>
      <w:bookmarkEnd w:id="22"/>
      <w:bookmarkEnd w:id="23"/>
    </w:p>
    <w:p w14:paraId="54806525">
      <w:pPr>
        <w:pStyle w:val="7"/>
        <w:kinsoku w:val="0"/>
        <w:overflowPunct w:val="0"/>
        <w:snapToGrid w:val="0"/>
        <w:ind w:firstLine="396" w:firstLineChars="200"/>
        <w:jc w:val="both"/>
        <w:rPr>
          <w:rFonts w:hint="default" w:cs="Times New Roman"/>
          <w:color w:val="auto"/>
          <w:spacing w:val="-6"/>
          <w:sz w:val="21"/>
          <w:szCs w:val="21"/>
          <w:lang w:val="en-US" w:eastAsia="zh-CN"/>
        </w:rPr>
      </w:pPr>
      <w:r>
        <w:rPr>
          <w:rFonts w:hint="default" w:cs="Times New Roman"/>
          <w:color w:val="auto"/>
          <w:spacing w:val="-6"/>
          <w:sz w:val="21"/>
          <w:szCs w:val="21"/>
          <w:lang w:val="en-US" w:eastAsia="zh-CN"/>
        </w:rPr>
        <w:t>机电一体化赛项总时长为4小时，比赛现场考查选手设备搭建、编程调试与故障排除两个模块，两个模块同时进行，比赛结束进行统一评分，中间不进行单独评分。</w:t>
      </w:r>
    </w:p>
    <w:p w14:paraId="50AC45F3">
      <w:pPr>
        <w:pStyle w:val="7"/>
        <w:kinsoku w:val="0"/>
        <w:overflowPunct w:val="0"/>
        <w:snapToGrid w:val="0"/>
        <w:ind w:firstLine="396" w:firstLineChars="200"/>
        <w:jc w:val="both"/>
        <w:rPr>
          <w:rFonts w:hint="default"/>
          <w:b/>
          <w:color w:val="FF0000"/>
          <w:sz w:val="21"/>
          <w:szCs w:val="24"/>
          <w:lang w:val="en-US" w:eastAsia="zh-CN"/>
        </w:rPr>
      </w:pPr>
      <w:r>
        <w:rPr>
          <w:rFonts w:hint="default" w:cs="Times New Roman"/>
          <w:color w:val="auto"/>
          <w:spacing w:val="-6"/>
          <w:sz w:val="21"/>
          <w:szCs w:val="21"/>
          <w:lang w:val="en-US" w:eastAsia="zh-CN"/>
        </w:rPr>
        <w:t>机电一体化赛项总分为100分，具体考核内容及配分情况如表2所示：</w:t>
      </w:r>
    </w:p>
    <w:p w14:paraId="22F54A2E">
      <w:pPr>
        <w:jc w:val="center"/>
        <w:rPr>
          <w:rFonts w:hint="default"/>
          <w:b/>
          <w:color w:val="FF0000"/>
          <w:sz w:val="22"/>
          <w:szCs w:val="24"/>
          <w:lang w:val="en-US" w:eastAsia="zh-CN"/>
        </w:rPr>
      </w:pPr>
    </w:p>
    <w:p w14:paraId="5D08BE9D">
      <w:pPr>
        <w:jc w:val="center"/>
        <w:rPr>
          <w:rFonts w:hint="default" w:cs="宋体"/>
          <w:color w:val="auto"/>
          <w:sz w:val="21"/>
          <w:szCs w:val="21"/>
          <w:lang w:val="en-US" w:eastAsia="zh-CN"/>
        </w:rPr>
      </w:pPr>
      <w:r>
        <w:rPr>
          <w:rFonts w:hint="default" w:cs="宋体"/>
          <w:b/>
          <w:color w:val="auto"/>
          <w:sz w:val="21"/>
          <w:szCs w:val="21"/>
          <w:lang w:val="en-US" w:eastAsia="zh-CN"/>
        </w:rPr>
        <w:t>表2 考核内容及配分</w:t>
      </w:r>
    </w:p>
    <w:tbl>
      <w:tblPr>
        <w:tblStyle w:val="15"/>
        <w:tblW w:w="7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3"/>
        <w:gridCol w:w="1900"/>
        <w:gridCol w:w="2829"/>
        <w:gridCol w:w="1295"/>
      </w:tblGrid>
      <w:tr w14:paraId="1D1B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78" w:hRule="atLeast"/>
          <w:jc w:val="center"/>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91A7DF">
            <w:pPr>
              <w:jc w:val="center"/>
              <w:rPr>
                <w:rFonts w:hint="default" w:cs="宋体"/>
                <w:b/>
                <w:color w:val="auto"/>
                <w:sz w:val="21"/>
                <w:szCs w:val="21"/>
                <w:lang w:val="en-US" w:eastAsia="zh-CN"/>
              </w:rPr>
            </w:pPr>
            <w:r>
              <w:rPr>
                <w:rFonts w:hint="default" w:cs="宋体"/>
                <w:b/>
                <w:color w:val="auto"/>
                <w:sz w:val="21"/>
                <w:szCs w:val="21"/>
                <w:lang w:val="en-US" w:eastAsia="zh-CN"/>
              </w:rPr>
              <w:t>模块</w:t>
            </w: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F356DD">
            <w:pPr>
              <w:jc w:val="center"/>
              <w:rPr>
                <w:rFonts w:hint="default" w:cs="宋体"/>
                <w:b/>
                <w:color w:val="auto"/>
                <w:sz w:val="21"/>
                <w:szCs w:val="21"/>
                <w:lang w:val="en-US" w:eastAsia="zh-CN"/>
              </w:rPr>
            </w:pPr>
            <w:r>
              <w:rPr>
                <w:rFonts w:hint="default" w:cs="宋体"/>
                <w:b/>
                <w:color w:val="auto"/>
                <w:sz w:val="21"/>
                <w:szCs w:val="21"/>
                <w:lang w:val="en-US" w:eastAsia="zh-CN"/>
              </w:rPr>
              <w:t>评分内容</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EDE68">
            <w:pPr>
              <w:jc w:val="center"/>
              <w:rPr>
                <w:rFonts w:hint="default" w:cs="宋体"/>
                <w:b/>
                <w:color w:val="auto"/>
                <w:sz w:val="21"/>
                <w:szCs w:val="21"/>
                <w:lang w:val="en-US" w:eastAsia="zh-CN"/>
              </w:rPr>
            </w:pPr>
            <w:r>
              <w:rPr>
                <w:rFonts w:hint="default" w:cs="宋体"/>
                <w:b/>
                <w:color w:val="auto"/>
                <w:sz w:val="21"/>
                <w:szCs w:val="21"/>
                <w:lang w:val="en-US" w:eastAsia="zh-CN"/>
              </w:rPr>
              <w:t>考核内容</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2D9F93">
            <w:pPr>
              <w:jc w:val="center"/>
              <w:rPr>
                <w:rFonts w:hint="default" w:cs="宋体"/>
                <w:b/>
                <w:color w:val="auto"/>
                <w:sz w:val="21"/>
                <w:szCs w:val="21"/>
                <w:lang w:val="en-US" w:eastAsia="zh-CN"/>
              </w:rPr>
            </w:pPr>
            <w:r>
              <w:rPr>
                <w:rFonts w:hint="default" w:cs="宋体"/>
                <w:b/>
                <w:color w:val="auto"/>
                <w:sz w:val="21"/>
                <w:szCs w:val="21"/>
                <w:lang w:val="en-US" w:eastAsia="zh-CN"/>
              </w:rPr>
              <w:t>配分</w:t>
            </w:r>
          </w:p>
        </w:tc>
      </w:tr>
      <w:tr w14:paraId="7446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4" w:hRule="atLeast"/>
          <w:jc w:val="center"/>
        </w:trPr>
        <w:tc>
          <w:tcPr>
            <w:tcW w:w="125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9B95400">
            <w:pPr>
              <w:pStyle w:val="7"/>
              <w:autoSpaceDE/>
              <w:autoSpaceDN/>
              <w:snapToGrid w:val="0"/>
              <w:ind w:left="220" w:leftChars="100" w:firstLine="191" w:firstLine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专业</w:t>
            </w:r>
          </w:p>
          <w:p w14:paraId="54695468">
            <w:pPr>
              <w:pStyle w:val="7"/>
              <w:autoSpaceDE/>
              <w:autoSpaceDN/>
              <w:snapToGrid w:val="0"/>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技术规范</w:t>
            </w: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E067EF">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部件组装</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5C2AAB">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根据现场图纸的位置及尺寸要求，完成设备的组装；</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95BDFF">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16</w:t>
            </w:r>
          </w:p>
        </w:tc>
      </w:tr>
      <w:tr w14:paraId="495D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4" w:hRule="atLeast"/>
          <w:jc w:val="center"/>
        </w:trPr>
        <w:tc>
          <w:tcPr>
            <w:tcW w:w="125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D0C7DCA">
            <w:pPr>
              <w:pStyle w:val="7"/>
              <w:autoSpaceDE/>
              <w:autoSpaceDN/>
              <w:adjustRightInd/>
              <w:ind w:left="220" w:leftChars="100"/>
              <w:rPr>
                <w:rFonts w:hint="default"/>
                <w:color w:val="auto"/>
                <w:sz w:val="24"/>
                <w:szCs w:val="24"/>
              </w:rPr>
            </w:pP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AFEEA8">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气路连接</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ED07D">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正确选用气动元件及气管，完成气路的连接；</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E9450D">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10</w:t>
            </w:r>
          </w:p>
        </w:tc>
      </w:tr>
      <w:tr w14:paraId="5653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84" w:hRule="atLeast"/>
          <w:jc w:val="center"/>
        </w:trPr>
        <w:tc>
          <w:tcPr>
            <w:tcW w:w="125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B85B3AB">
            <w:pPr>
              <w:pStyle w:val="7"/>
              <w:autoSpaceDE/>
              <w:autoSpaceDN/>
              <w:adjustRightInd/>
              <w:ind w:left="220" w:leftChars="100"/>
              <w:rPr>
                <w:rFonts w:hint="default" w:cs="宋体"/>
                <w:color w:val="auto"/>
                <w:spacing w:val="-4"/>
                <w:w w:val="95"/>
                <w:sz w:val="21"/>
                <w:szCs w:val="21"/>
                <w:lang w:val="en-US" w:eastAsia="zh-CN"/>
              </w:rPr>
            </w:pP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64D6F7">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电路连接</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C92F05">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根据机电一体化接线的相关技术规范和工艺标准，合理选用现场耗材，完成电路连接；</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9AECA9">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14</w:t>
            </w:r>
          </w:p>
        </w:tc>
      </w:tr>
      <w:tr w14:paraId="7332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90" w:hRule="atLeast"/>
          <w:jc w:val="center"/>
        </w:trPr>
        <w:tc>
          <w:tcPr>
            <w:tcW w:w="125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737B4DD">
            <w:pPr>
              <w:pStyle w:val="7"/>
              <w:autoSpaceDE/>
              <w:autoSpaceDN/>
              <w:snapToGrid w:val="0"/>
              <w:ind w:left="220" w:leftChars="10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功能调试</w:t>
            </w:r>
          </w:p>
          <w:p w14:paraId="2D0D7ADC">
            <w:pPr>
              <w:pStyle w:val="7"/>
              <w:autoSpaceDE/>
              <w:autoSpaceDN/>
              <w:snapToGrid w:val="0"/>
              <w:ind w:left="220" w:leftChars="10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与排障</w:t>
            </w: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AACD10">
            <w:pPr>
              <w:pStyle w:val="7"/>
              <w:autoSpaceDE/>
              <w:autoSpaceDN/>
              <w:adjustRightInd/>
              <w:ind w:left="220" w:leftChars="10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初始位置与</w:t>
            </w:r>
          </w:p>
          <w:p w14:paraId="2A4EDCEE">
            <w:pPr>
              <w:pStyle w:val="7"/>
              <w:autoSpaceDE/>
              <w:autoSpaceDN/>
              <w:adjustRightInd/>
              <w:ind w:left="220" w:leftChars="10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设备自检</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1690B2">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上电设备处在初始位置，并能根据任务要求完成自检；</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80B6F">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13</w:t>
            </w:r>
          </w:p>
        </w:tc>
      </w:tr>
      <w:tr w14:paraId="7666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90" w:hRule="atLeast"/>
          <w:jc w:val="center"/>
        </w:trPr>
        <w:tc>
          <w:tcPr>
            <w:tcW w:w="125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1AB2CF4">
            <w:pPr>
              <w:pStyle w:val="7"/>
              <w:autoSpaceDE/>
              <w:autoSpaceDN/>
              <w:adjustRightInd/>
              <w:ind w:left="220" w:leftChars="100"/>
              <w:rPr>
                <w:rFonts w:hint="default"/>
                <w:color w:val="auto"/>
                <w:sz w:val="24"/>
                <w:szCs w:val="24"/>
              </w:rPr>
            </w:pP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0F1139">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设备运行调试</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63A3DB">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能够根据任务书要求，设备在手动或自动情况下，按流程完成相关动作，并能够对过程中出现的故障及时进行排除；</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F993AC">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27</w:t>
            </w:r>
          </w:p>
        </w:tc>
      </w:tr>
      <w:tr w14:paraId="0C59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90" w:hRule="atLeast"/>
          <w:jc w:val="center"/>
        </w:trPr>
        <w:tc>
          <w:tcPr>
            <w:tcW w:w="125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5157C73">
            <w:pPr>
              <w:pStyle w:val="7"/>
              <w:autoSpaceDE/>
              <w:autoSpaceDN/>
              <w:adjustRightInd/>
              <w:ind w:left="220" w:leftChars="100"/>
              <w:rPr>
                <w:rFonts w:hint="default" w:cs="宋体"/>
                <w:color w:val="auto"/>
                <w:spacing w:val="-4"/>
                <w:w w:val="95"/>
                <w:sz w:val="21"/>
                <w:szCs w:val="21"/>
                <w:lang w:val="en-US" w:eastAsia="zh-CN"/>
              </w:rPr>
            </w:pP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725FAB">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紧急情况</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71BEEF">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设备应能够实现运行过程中的工作方式切换，并能够在突然断电情况下，进行状态保持；</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95DE61">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10</w:t>
            </w:r>
          </w:p>
        </w:tc>
      </w:tr>
      <w:tr w14:paraId="4146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1" w:hRule="atLeast"/>
          <w:jc w:val="center"/>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EA2285">
            <w:pPr>
              <w:pStyle w:val="7"/>
              <w:autoSpaceDE/>
              <w:autoSpaceDN/>
              <w:snapToGrid w:val="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安全生产</w:t>
            </w:r>
          </w:p>
          <w:p w14:paraId="35EACDD0">
            <w:pPr>
              <w:pStyle w:val="7"/>
              <w:autoSpaceDE/>
              <w:autoSpaceDN/>
              <w:snapToGrid w:val="0"/>
              <w:jc w:val="center"/>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规范</w:t>
            </w: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71114C">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职业素养、</w:t>
            </w:r>
          </w:p>
          <w:p w14:paraId="68D80AE5">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违规项</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B85B10">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选手具备电工、电气自动化相关职业要求的基本职业素养，按操作规程安全操作。</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3720FB">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10</w:t>
            </w:r>
          </w:p>
        </w:tc>
      </w:tr>
      <w:tr w14:paraId="520B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1" w:hRule="atLeast"/>
          <w:jc w:val="center"/>
        </w:trPr>
        <w:tc>
          <w:tcPr>
            <w:tcW w:w="125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7AC597">
            <w:pPr>
              <w:pStyle w:val="7"/>
              <w:autoSpaceDE/>
              <w:autoSpaceDN/>
              <w:adjustRightInd/>
              <w:ind w:left="220" w:leftChars="100"/>
              <w:rPr>
                <w:rFonts w:hint="default" w:cs="宋体"/>
                <w:color w:val="auto"/>
                <w:spacing w:val="-4"/>
                <w:w w:val="95"/>
                <w:sz w:val="21"/>
                <w:szCs w:val="21"/>
                <w:lang w:val="en-US" w:eastAsia="zh-CN"/>
              </w:rPr>
            </w:pPr>
          </w:p>
        </w:tc>
        <w:tc>
          <w:tcPr>
            <w:tcW w:w="19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24465D">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合计</w:t>
            </w:r>
          </w:p>
        </w:tc>
        <w:tc>
          <w:tcPr>
            <w:tcW w:w="28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752135">
            <w:pPr>
              <w:pStyle w:val="7"/>
              <w:autoSpaceDE/>
              <w:autoSpaceDN/>
              <w:adjustRightInd/>
              <w:ind w:left="220" w:leftChars="100"/>
              <w:rPr>
                <w:rFonts w:hint="default" w:cs="宋体"/>
                <w:color w:val="auto"/>
                <w:spacing w:val="-4"/>
                <w:w w:val="95"/>
                <w:sz w:val="21"/>
                <w:szCs w:val="21"/>
                <w:lang w:val="en-US" w:eastAsia="zh-CN"/>
              </w:rPr>
            </w:pP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FCE4B">
            <w:pPr>
              <w:pStyle w:val="7"/>
              <w:autoSpaceDE/>
              <w:autoSpaceDN/>
              <w:adjustRightInd/>
              <w:ind w:left="220" w:leftChars="100"/>
              <w:rPr>
                <w:rFonts w:hint="default" w:cs="宋体"/>
                <w:color w:val="auto"/>
                <w:spacing w:val="-4"/>
                <w:w w:val="95"/>
                <w:sz w:val="21"/>
                <w:szCs w:val="21"/>
                <w:lang w:val="en-US" w:eastAsia="zh-CN"/>
              </w:rPr>
            </w:pPr>
            <w:r>
              <w:rPr>
                <w:rFonts w:hint="default" w:cs="宋体"/>
                <w:color w:val="auto"/>
                <w:spacing w:val="-4"/>
                <w:w w:val="95"/>
                <w:sz w:val="21"/>
                <w:szCs w:val="21"/>
                <w:lang w:val="en-US" w:eastAsia="zh-CN"/>
              </w:rPr>
              <w:t>100</w:t>
            </w:r>
          </w:p>
        </w:tc>
      </w:tr>
    </w:tbl>
    <w:p w14:paraId="4146E0A6">
      <w:pPr>
        <w:pStyle w:val="4"/>
        <w:ind w:left="0" w:firstLine="0"/>
        <w:rPr>
          <w:rFonts w:hint="default" w:cs="Times New Roman"/>
          <w:sz w:val="28"/>
          <w:szCs w:val="28"/>
          <w:lang w:val="en-US" w:eastAsia="zh-CN"/>
        </w:rPr>
      </w:pPr>
      <w:bookmarkStart w:id="24" w:name="_bookmark10"/>
      <w:bookmarkEnd w:id="24"/>
      <w:bookmarkStart w:id="25" w:name="_bookmark11"/>
      <w:bookmarkEnd w:id="25"/>
    </w:p>
    <w:p w14:paraId="78D018F7">
      <w:pPr>
        <w:pStyle w:val="4"/>
        <w:ind w:left="0" w:firstLine="562" w:firstLineChars="200"/>
        <w:rPr>
          <w:rFonts w:hint="default"/>
          <w:sz w:val="28"/>
          <w:szCs w:val="24"/>
          <w:lang w:val="en-US" w:eastAsia="zh-CN"/>
        </w:rPr>
      </w:pPr>
      <w:bookmarkStart w:id="26" w:name="_Toc16889"/>
      <w:bookmarkStart w:id="27" w:name="_Toc10250"/>
      <w:r>
        <w:rPr>
          <w:rFonts w:hint="default"/>
          <w:sz w:val="28"/>
          <w:szCs w:val="24"/>
          <w:lang w:val="en-US" w:eastAsia="zh-CN"/>
        </w:rPr>
        <w:t>（三）竞赛评判标准</w:t>
      </w:r>
      <w:bookmarkEnd w:id="26"/>
      <w:bookmarkEnd w:id="27"/>
    </w:p>
    <w:p w14:paraId="5514B36F">
      <w:pPr>
        <w:pStyle w:val="5"/>
        <w:spacing w:before="0" w:after="0" w:line="240" w:lineRule="auto"/>
        <w:ind w:firstLine="422" w:firstLineChars="200"/>
        <w:rPr>
          <w:rFonts w:hint="default"/>
          <w:sz w:val="21"/>
          <w:szCs w:val="24"/>
          <w:lang w:val="en-US" w:eastAsia="zh-CN"/>
        </w:rPr>
      </w:pPr>
      <w:bookmarkStart w:id="28" w:name="_Toc639"/>
      <w:bookmarkStart w:id="29" w:name="_Toc32438"/>
      <w:r>
        <w:rPr>
          <w:rFonts w:hint="default"/>
          <w:sz w:val="21"/>
          <w:szCs w:val="24"/>
          <w:lang w:val="en-US" w:eastAsia="zh-CN"/>
        </w:rPr>
        <w:t>1.竞赛试题配分</w:t>
      </w:r>
      <w:bookmarkEnd w:id="28"/>
      <w:bookmarkEnd w:id="29"/>
    </w:p>
    <w:p w14:paraId="57DA2E63">
      <w:pPr>
        <w:pStyle w:val="7"/>
        <w:kinsoku w:val="0"/>
        <w:overflowPunct w:val="0"/>
        <w:ind w:firstLine="408" w:firstLineChars="200"/>
        <w:jc w:val="both"/>
        <w:rPr>
          <w:rFonts w:hint="default" w:cs="宋体"/>
          <w:color w:val="auto"/>
          <w:spacing w:val="-9"/>
          <w:sz w:val="21"/>
          <w:szCs w:val="21"/>
          <w:lang w:eastAsia="zh-CN"/>
        </w:rPr>
      </w:pPr>
      <w:r>
        <w:rPr>
          <w:rFonts w:hint="default" w:cs="宋体"/>
          <w:color w:val="auto"/>
          <w:spacing w:val="-3"/>
          <w:sz w:val="21"/>
          <w:szCs w:val="21"/>
          <w:lang w:val="en-US" w:eastAsia="zh-CN"/>
        </w:rPr>
        <w:t>机电一体化赛项为双人赛项，</w:t>
      </w:r>
      <w:r>
        <w:rPr>
          <w:rFonts w:hint="default" w:cs="宋体"/>
          <w:color w:val="auto"/>
          <w:spacing w:val="-3"/>
          <w:sz w:val="21"/>
          <w:szCs w:val="21"/>
        </w:rPr>
        <w:t>评分项目</w:t>
      </w:r>
      <w:r>
        <w:rPr>
          <w:rFonts w:hint="default" w:cs="宋体"/>
          <w:color w:val="auto"/>
          <w:spacing w:val="-3"/>
          <w:sz w:val="21"/>
          <w:szCs w:val="21"/>
          <w:lang w:val="en-US" w:eastAsia="zh-CN"/>
        </w:rPr>
        <w:t>及配分情况</w:t>
      </w:r>
      <w:r>
        <w:rPr>
          <w:rFonts w:hint="default" w:cs="宋体"/>
          <w:color w:val="auto"/>
          <w:spacing w:val="-3"/>
          <w:sz w:val="21"/>
          <w:szCs w:val="21"/>
        </w:rPr>
        <w:t>：</w:t>
      </w:r>
      <w:r>
        <w:rPr>
          <w:rFonts w:hint="default" w:cs="宋体"/>
          <w:color w:val="auto"/>
          <w:spacing w:val="-9"/>
          <w:sz w:val="21"/>
          <w:szCs w:val="21"/>
          <w:lang w:eastAsia="zh-CN"/>
        </w:rPr>
        <w:t>部件组装（</w:t>
      </w:r>
      <w:r>
        <w:rPr>
          <w:rFonts w:hint="default" w:cs="宋体"/>
          <w:color w:val="auto"/>
          <w:spacing w:val="-9"/>
          <w:sz w:val="21"/>
          <w:szCs w:val="21"/>
          <w:lang w:val="en-US" w:eastAsia="zh-CN"/>
        </w:rPr>
        <w:t>16</w:t>
      </w:r>
      <w:r>
        <w:rPr>
          <w:rFonts w:hint="default" w:cs="宋体"/>
          <w:color w:val="auto"/>
          <w:spacing w:val="-9"/>
          <w:sz w:val="21"/>
          <w:szCs w:val="21"/>
          <w:lang w:eastAsia="zh-CN"/>
        </w:rPr>
        <w:t>）、气路连接（</w:t>
      </w:r>
      <w:r>
        <w:rPr>
          <w:rFonts w:hint="default" w:cs="宋体"/>
          <w:color w:val="auto"/>
          <w:spacing w:val="-9"/>
          <w:sz w:val="21"/>
          <w:szCs w:val="21"/>
          <w:lang w:val="en-US" w:eastAsia="zh-CN"/>
        </w:rPr>
        <w:t>10</w:t>
      </w:r>
      <w:r>
        <w:rPr>
          <w:rFonts w:hint="default" w:cs="宋体"/>
          <w:color w:val="auto"/>
          <w:spacing w:val="-9"/>
          <w:sz w:val="21"/>
          <w:szCs w:val="21"/>
          <w:lang w:eastAsia="zh-CN"/>
        </w:rPr>
        <w:t>）、电路连接（</w:t>
      </w:r>
      <w:r>
        <w:rPr>
          <w:rFonts w:hint="default" w:cs="宋体"/>
          <w:color w:val="auto"/>
          <w:spacing w:val="-9"/>
          <w:sz w:val="21"/>
          <w:szCs w:val="21"/>
          <w:lang w:val="en-US" w:eastAsia="zh-CN"/>
        </w:rPr>
        <w:t>14</w:t>
      </w:r>
      <w:r>
        <w:rPr>
          <w:rFonts w:hint="default" w:cs="宋体"/>
          <w:color w:val="auto"/>
          <w:spacing w:val="-9"/>
          <w:sz w:val="21"/>
          <w:szCs w:val="21"/>
          <w:lang w:eastAsia="zh-CN"/>
        </w:rPr>
        <w:t>）、</w:t>
      </w:r>
      <w:r>
        <w:rPr>
          <w:rFonts w:hint="default" w:cs="宋体"/>
          <w:color w:val="auto"/>
          <w:spacing w:val="-9"/>
          <w:sz w:val="21"/>
          <w:szCs w:val="21"/>
          <w:lang w:val="en-US" w:eastAsia="zh-CN"/>
        </w:rPr>
        <w:t>功能调试与排障</w:t>
      </w:r>
      <w:r>
        <w:rPr>
          <w:rFonts w:hint="default" w:cs="宋体"/>
          <w:color w:val="auto"/>
          <w:spacing w:val="-9"/>
          <w:sz w:val="21"/>
          <w:szCs w:val="21"/>
          <w:lang w:eastAsia="zh-CN"/>
        </w:rPr>
        <w:t>（</w:t>
      </w:r>
      <w:r>
        <w:rPr>
          <w:rFonts w:hint="default" w:cs="宋体"/>
          <w:color w:val="auto"/>
          <w:spacing w:val="-9"/>
          <w:sz w:val="21"/>
          <w:szCs w:val="21"/>
          <w:lang w:val="en-US" w:eastAsia="zh-CN"/>
        </w:rPr>
        <w:t>50</w:t>
      </w:r>
      <w:r>
        <w:rPr>
          <w:rFonts w:hint="default" w:cs="宋体"/>
          <w:color w:val="auto"/>
          <w:spacing w:val="-9"/>
          <w:sz w:val="21"/>
          <w:szCs w:val="21"/>
          <w:lang w:eastAsia="zh-CN"/>
        </w:rPr>
        <w:t>）、职业素养评分（</w:t>
      </w:r>
      <w:r>
        <w:rPr>
          <w:rFonts w:hint="default" w:cs="宋体"/>
          <w:color w:val="auto"/>
          <w:spacing w:val="-9"/>
          <w:sz w:val="21"/>
          <w:szCs w:val="21"/>
          <w:lang w:val="en-US" w:eastAsia="zh-CN"/>
        </w:rPr>
        <w:t>10</w:t>
      </w:r>
      <w:r>
        <w:rPr>
          <w:rFonts w:hint="default" w:cs="宋体"/>
          <w:color w:val="auto"/>
          <w:spacing w:val="-9"/>
          <w:sz w:val="21"/>
          <w:szCs w:val="21"/>
          <w:lang w:eastAsia="zh-CN"/>
        </w:rPr>
        <w:t>）。</w:t>
      </w:r>
    </w:p>
    <w:p w14:paraId="34F08498">
      <w:pPr>
        <w:pStyle w:val="5"/>
        <w:spacing w:before="0" w:after="0" w:line="240" w:lineRule="auto"/>
        <w:ind w:firstLine="422" w:firstLineChars="200"/>
        <w:rPr>
          <w:rFonts w:hint="default" w:cs="Times New Roman"/>
          <w:sz w:val="21"/>
          <w:szCs w:val="21"/>
          <w:lang w:val="en-US" w:eastAsia="zh-CN"/>
        </w:rPr>
      </w:pPr>
      <w:bookmarkStart w:id="30" w:name="_Toc32109"/>
      <w:bookmarkStart w:id="31" w:name="_Toc12268"/>
      <w:r>
        <w:rPr>
          <w:rFonts w:hint="default" w:cs="Times New Roman"/>
          <w:sz w:val="21"/>
          <w:szCs w:val="21"/>
          <w:lang w:val="en-US" w:eastAsia="zh-CN"/>
        </w:rPr>
        <w:t>2.评判方法</w:t>
      </w:r>
      <w:bookmarkEnd w:id="30"/>
      <w:bookmarkEnd w:id="31"/>
    </w:p>
    <w:p w14:paraId="6E164FC6">
      <w:pPr>
        <w:pStyle w:val="7"/>
        <w:kinsoku w:val="0"/>
        <w:overflowPunct w:val="0"/>
        <w:ind w:firstLine="408" w:firstLineChars="200"/>
        <w:jc w:val="both"/>
        <w:rPr>
          <w:rFonts w:hint="default" w:cs="宋体"/>
          <w:color w:val="auto"/>
          <w:spacing w:val="-3"/>
          <w:sz w:val="21"/>
          <w:szCs w:val="21"/>
          <w:lang w:val="en-US" w:eastAsia="zh-CN"/>
        </w:rPr>
      </w:pPr>
      <w:r>
        <w:rPr>
          <w:rFonts w:hint="default" w:cs="宋体"/>
          <w:color w:val="auto"/>
          <w:spacing w:val="-3"/>
          <w:sz w:val="21"/>
          <w:szCs w:val="21"/>
          <w:lang w:val="en-US" w:eastAsia="zh-CN"/>
        </w:rPr>
        <w:t>机电一体化赛项比赛采用测量（客观评分）和评价（主观评分）两种方式进行评分，其中测量分占比85%，评价分占比 15%。</w:t>
      </w:r>
    </w:p>
    <w:p w14:paraId="2F1D2EAA">
      <w:pPr>
        <w:pStyle w:val="7"/>
        <w:kinsoku w:val="0"/>
        <w:overflowPunct w:val="0"/>
        <w:ind w:firstLine="408" w:firstLineChars="200"/>
        <w:jc w:val="both"/>
        <w:rPr>
          <w:rFonts w:hint="default" w:cs="宋体"/>
          <w:color w:val="auto"/>
          <w:spacing w:val="-3"/>
          <w:sz w:val="21"/>
          <w:szCs w:val="21"/>
          <w:lang w:val="en-US" w:eastAsia="zh-CN"/>
        </w:rPr>
      </w:pPr>
      <w:r>
        <w:rPr>
          <w:rFonts w:hint="default" w:cs="宋体"/>
          <w:color w:val="auto"/>
          <w:spacing w:val="-3"/>
          <w:sz w:val="21"/>
          <w:szCs w:val="21"/>
          <w:lang w:val="en-US" w:eastAsia="zh-CN"/>
        </w:rPr>
        <w:t>测量分（客观评分） 打分方式：按任务设置若干个评分组，每组由3 名及以上裁判构成。每个组所有裁判一起商议，对选手在该项中的实际得分达成一致后最终只给出一个分值，达到要求为“满分”，达不到要求为“0”分。</w:t>
      </w:r>
    </w:p>
    <w:p w14:paraId="55573F32">
      <w:pPr>
        <w:pStyle w:val="7"/>
        <w:kinsoku w:val="0"/>
        <w:overflowPunct w:val="0"/>
        <w:ind w:firstLine="408" w:firstLineChars="200"/>
        <w:jc w:val="both"/>
        <w:rPr>
          <w:rFonts w:hint="default" w:cs="宋体"/>
          <w:color w:val="auto"/>
          <w:spacing w:val="-3"/>
          <w:sz w:val="21"/>
          <w:szCs w:val="21"/>
          <w:lang w:val="en-US" w:eastAsia="zh-CN"/>
        </w:rPr>
      </w:pPr>
      <w:r>
        <w:rPr>
          <w:rFonts w:hint="default" w:cs="宋体"/>
          <w:color w:val="auto"/>
          <w:spacing w:val="-3"/>
          <w:sz w:val="21"/>
          <w:szCs w:val="21"/>
          <w:lang w:val="en-US" w:eastAsia="zh-CN"/>
        </w:rPr>
        <w:t>评价分（主观评分）打分方式：3 名裁判为一组，各自单独评分，计算出平均权重分，除以 3 后再乘以该子项的分值计算出实际得分。裁判相互间分差必须小于等于 1 分，否则需要给出确切理由并在小组长或裁判长的监督下重新评分，权重及要求见表 3。</w:t>
      </w:r>
    </w:p>
    <w:p w14:paraId="7EBD1C64">
      <w:pPr>
        <w:numPr>
          <w:ilvl w:val="0"/>
          <w:numId w:val="0"/>
        </w:numPr>
        <w:ind w:firstLine="440" w:firstLineChars="200"/>
        <w:jc w:val="center"/>
        <w:rPr>
          <w:rFonts w:hint="default"/>
          <w:sz w:val="22"/>
          <w:szCs w:val="24"/>
          <w:lang w:val="en-US" w:eastAsia="zh-CN"/>
        </w:rPr>
      </w:pPr>
    </w:p>
    <w:p w14:paraId="01244369">
      <w:pPr>
        <w:numPr>
          <w:ilvl w:val="0"/>
          <w:numId w:val="0"/>
        </w:numPr>
        <w:ind w:firstLine="440" w:firstLineChars="200"/>
        <w:jc w:val="center"/>
        <w:rPr>
          <w:rFonts w:hint="default"/>
          <w:sz w:val="22"/>
          <w:szCs w:val="24"/>
          <w:lang w:val="en-US" w:eastAsia="zh-CN"/>
        </w:rPr>
      </w:pPr>
      <w:r>
        <w:rPr>
          <w:rFonts w:hint="default"/>
          <w:sz w:val="22"/>
          <w:szCs w:val="24"/>
          <w:lang w:val="en-US" w:eastAsia="zh-CN"/>
        </w:rPr>
        <w:t>表3 评价分权重表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5422"/>
      </w:tblGrid>
      <w:tr w14:paraId="43D1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89" w:hRule="atLeast"/>
          <w:jc w:val="center"/>
        </w:trPr>
        <w:tc>
          <w:tcPr>
            <w:tcW w:w="1557" w:type="dxa"/>
            <w:tcBorders>
              <w:top w:val="single" w:color="auto" w:sz="4" w:space="0"/>
              <w:left w:val="single" w:color="auto" w:sz="4" w:space="0"/>
              <w:bottom w:val="single" w:color="auto" w:sz="4" w:space="0"/>
              <w:right w:val="single" w:color="auto" w:sz="4" w:space="0"/>
              <w:tl2br w:val="nil"/>
              <w:tr2bl w:val="nil"/>
            </w:tcBorders>
            <w:noWrap w:val="0"/>
            <w:vAlign w:val="top"/>
          </w:tcPr>
          <w:p w14:paraId="091DD0D5">
            <w:pPr>
              <w:pStyle w:val="9"/>
              <w:jc w:val="center"/>
              <w:rPr>
                <w:rFonts w:hint="default" w:cs="宋体"/>
                <w:b/>
                <w:sz w:val="21"/>
                <w:szCs w:val="21"/>
                <w:lang w:val="en-US" w:eastAsia="zh-CN"/>
              </w:rPr>
            </w:pPr>
            <w:r>
              <w:rPr>
                <w:rFonts w:hint="default" w:cs="宋体"/>
                <w:b/>
                <w:sz w:val="21"/>
                <w:szCs w:val="21"/>
                <w:lang w:val="en-US" w:eastAsia="zh-CN"/>
              </w:rPr>
              <w:t>权重分值</w:t>
            </w:r>
          </w:p>
        </w:tc>
        <w:tc>
          <w:tcPr>
            <w:tcW w:w="5422" w:type="dxa"/>
            <w:tcBorders>
              <w:top w:val="single" w:color="auto" w:sz="4" w:space="0"/>
              <w:left w:val="single" w:color="auto" w:sz="4" w:space="0"/>
              <w:bottom w:val="single" w:color="auto" w:sz="4" w:space="0"/>
              <w:right w:val="single" w:color="auto" w:sz="4" w:space="0"/>
              <w:tl2br w:val="nil"/>
              <w:tr2bl w:val="nil"/>
            </w:tcBorders>
            <w:noWrap w:val="0"/>
            <w:vAlign w:val="top"/>
          </w:tcPr>
          <w:p w14:paraId="5E51D593">
            <w:pPr>
              <w:pStyle w:val="9"/>
              <w:jc w:val="center"/>
              <w:rPr>
                <w:rFonts w:hint="default" w:cs="宋体"/>
                <w:b/>
                <w:sz w:val="21"/>
                <w:szCs w:val="21"/>
                <w:lang w:val="en-US" w:eastAsia="zh-CN"/>
              </w:rPr>
            </w:pPr>
            <w:r>
              <w:rPr>
                <w:rFonts w:hint="default" w:cs="宋体"/>
                <w:b/>
                <w:sz w:val="21"/>
                <w:szCs w:val="21"/>
                <w:lang w:val="en-US" w:eastAsia="zh-CN"/>
              </w:rPr>
              <w:t>要求描述</w:t>
            </w:r>
          </w:p>
        </w:tc>
      </w:tr>
      <w:tr w14:paraId="3C15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6" w:hRule="atLeast"/>
          <w:jc w:val="center"/>
        </w:trPr>
        <w:tc>
          <w:tcPr>
            <w:tcW w:w="15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86A08A">
            <w:pPr>
              <w:pStyle w:val="7"/>
              <w:autoSpaceDE/>
              <w:autoSpaceDN/>
              <w:adjustRightInd/>
              <w:ind w:left="220" w:leftChars="100" w:firstLine="382" w:firstLineChars="200"/>
              <w:rPr>
                <w:rFonts w:hint="default" w:cs="宋体"/>
                <w:spacing w:val="-4"/>
                <w:w w:val="95"/>
                <w:sz w:val="21"/>
                <w:szCs w:val="21"/>
                <w:lang w:val="en-US" w:eastAsia="zh-CN"/>
              </w:rPr>
            </w:pPr>
            <w:r>
              <w:rPr>
                <w:rFonts w:hint="default" w:cs="宋体"/>
                <w:spacing w:val="-4"/>
                <w:w w:val="95"/>
                <w:sz w:val="21"/>
                <w:szCs w:val="21"/>
                <w:lang w:val="en-US" w:eastAsia="zh-CN"/>
              </w:rPr>
              <w:t>0分</w:t>
            </w:r>
          </w:p>
        </w:tc>
        <w:tc>
          <w:tcPr>
            <w:tcW w:w="5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5D425">
            <w:pPr>
              <w:pStyle w:val="7"/>
              <w:autoSpaceDE/>
              <w:autoSpaceDN/>
              <w:adjustRightInd/>
              <w:ind w:left="220" w:leftChars="100" w:firstLine="382" w:firstLineChars="200"/>
              <w:jc w:val="center"/>
              <w:rPr>
                <w:rFonts w:hint="default" w:cs="宋体"/>
                <w:spacing w:val="-4"/>
                <w:w w:val="95"/>
                <w:sz w:val="21"/>
                <w:szCs w:val="21"/>
                <w:lang w:val="en-US" w:eastAsia="zh-CN"/>
              </w:rPr>
            </w:pPr>
            <w:r>
              <w:rPr>
                <w:rFonts w:hint="default" w:cs="宋体"/>
                <w:spacing w:val="-4"/>
                <w:w w:val="95"/>
                <w:sz w:val="21"/>
                <w:szCs w:val="21"/>
                <w:lang w:val="en-US" w:eastAsia="zh-CN"/>
              </w:rPr>
              <w:t>各方面均低于行业标准，包括“没做”</w:t>
            </w:r>
          </w:p>
        </w:tc>
      </w:tr>
      <w:tr w14:paraId="0B04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6" w:hRule="atLeast"/>
          <w:jc w:val="center"/>
        </w:trPr>
        <w:tc>
          <w:tcPr>
            <w:tcW w:w="15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0A31DF">
            <w:pPr>
              <w:pStyle w:val="7"/>
              <w:autoSpaceDE/>
              <w:autoSpaceDN/>
              <w:adjustRightInd/>
              <w:ind w:left="220" w:leftChars="100" w:firstLine="382" w:firstLineChars="200"/>
              <w:rPr>
                <w:rFonts w:hint="default" w:cs="宋体"/>
                <w:spacing w:val="-4"/>
                <w:w w:val="95"/>
                <w:sz w:val="21"/>
                <w:szCs w:val="21"/>
                <w:lang w:val="en-US" w:eastAsia="zh-CN"/>
              </w:rPr>
            </w:pPr>
            <w:r>
              <w:rPr>
                <w:rFonts w:hint="default" w:cs="宋体"/>
                <w:spacing w:val="-4"/>
                <w:w w:val="95"/>
                <w:sz w:val="21"/>
                <w:szCs w:val="21"/>
                <w:lang w:val="en-US" w:eastAsia="zh-CN"/>
              </w:rPr>
              <w:t>1分</w:t>
            </w:r>
          </w:p>
        </w:tc>
        <w:tc>
          <w:tcPr>
            <w:tcW w:w="5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88A9CA">
            <w:pPr>
              <w:pStyle w:val="7"/>
              <w:autoSpaceDE/>
              <w:autoSpaceDN/>
              <w:adjustRightInd/>
              <w:ind w:left="220" w:leftChars="100" w:firstLine="382" w:firstLineChars="200"/>
              <w:jc w:val="center"/>
              <w:rPr>
                <w:rFonts w:hint="default" w:cs="宋体"/>
                <w:spacing w:val="-4"/>
                <w:w w:val="95"/>
                <w:sz w:val="21"/>
                <w:szCs w:val="21"/>
                <w:lang w:val="en-US" w:eastAsia="zh-CN"/>
              </w:rPr>
            </w:pPr>
            <w:r>
              <w:rPr>
                <w:rFonts w:hint="default" w:cs="宋体"/>
                <w:spacing w:val="-4"/>
                <w:w w:val="95"/>
                <w:sz w:val="21"/>
                <w:szCs w:val="21"/>
                <w:lang w:val="en-US" w:eastAsia="zh-CN"/>
              </w:rPr>
              <w:t>达到行业标准</w:t>
            </w:r>
          </w:p>
        </w:tc>
      </w:tr>
      <w:tr w14:paraId="181C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6" w:hRule="atLeast"/>
          <w:jc w:val="center"/>
        </w:trPr>
        <w:tc>
          <w:tcPr>
            <w:tcW w:w="15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CFD490">
            <w:pPr>
              <w:pStyle w:val="7"/>
              <w:autoSpaceDE/>
              <w:autoSpaceDN/>
              <w:adjustRightInd/>
              <w:ind w:left="220" w:leftChars="100" w:firstLine="382" w:firstLineChars="200"/>
              <w:rPr>
                <w:rFonts w:hint="default" w:cs="宋体"/>
                <w:spacing w:val="-4"/>
                <w:w w:val="95"/>
                <w:sz w:val="21"/>
                <w:szCs w:val="21"/>
                <w:lang w:val="en-US" w:eastAsia="zh-CN"/>
              </w:rPr>
            </w:pPr>
            <w:r>
              <w:rPr>
                <w:rFonts w:hint="default" w:cs="宋体"/>
                <w:spacing w:val="-4"/>
                <w:w w:val="95"/>
                <w:sz w:val="21"/>
                <w:szCs w:val="21"/>
                <w:lang w:val="en-US" w:eastAsia="zh-CN"/>
              </w:rPr>
              <w:t>2分</w:t>
            </w:r>
          </w:p>
        </w:tc>
        <w:tc>
          <w:tcPr>
            <w:tcW w:w="5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15F89C">
            <w:pPr>
              <w:pStyle w:val="7"/>
              <w:autoSpaceDE/>
              <w:autoSpaceDN/>
              <w:adjustRightInd/>
              <w:ind w:left="220" w:leftChars="100" w:firstLine="382" w:firstLineChars="200"/>
              <w:jc w:val="center"/>
              <w:rPr>
                <w:rFonts w:hint="default" w:cs="宋体"/>
                <w:spacing w:val="-4"/>
                <w:w w:val="95"/>
                <w:sz w:val="21"/>
                <w:szCs w:val="21"/>
                <w:lang w:val="en-US" w:eastAsia="zh-CN"/>
              </w:rPr>
            </w:pPr>
            <w:r>
              <w:rPr>
                <w:rFonts w:hint="default" w:cs="宋体"/>
                <w:spacing w:val="-4"/>
                <w:w w:val="95"/>
                <w:sz w:val="21"/>
                <w:szCs w:val="21"/>
                <w:lang w:val="en-US" w:eastAsia="zh-CN"/>
              </w:rPr>
              <w:t>达到行业标准，且某些方面超过标准</w:t>
            </w:r>
          </w:p>
        </w:tc>
      </w:tr>
      <w:tr w14:paraId="316F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46" w:hRule="atLeast"/>
          <w:jc w:val="center"/>
        </w:trPr>
        <w:tc>
          <w:tcPr>
            <w:tcW w:w="15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F509BD">
            <w:pPr>
              <w:pStyle w:val="7"/>
              <w:autoSpaceDE/>
              <w:autoSpaceDN/>
              <w:adjustRightInd/>
              <w:ind w:left="220" w:leftChars="100" w:firstLine="382" w:firstLineChars="200"/>
              <w:rPr>
                <w:rFonts w:hint="default" w:cs="宋体"/>
                <w:spacing w:val="-4"/>
                <w:w w:val="95"/>
                <w:sz w:val="21"/>
                <w:szCs w:val="21"/>
                <w:lang w:val="en-US" w:eastAsia="zh-CN"/>
              </w:rPr>
            </w:pPr>
            <w:r>
              <w:rPr>
                <w:rFonts w:hint="default" w:cs="宋体"/>
                <w:spacing w:val="-4"/>
                <w:w w:val="95"/>
                <w:sz w:val="21"/>
                <w:szCs w:val="21"/>
                <w:lang w:val="en-US" w:eastAsia="zh-CN"/>
              </w:rPr>
              <w:t>3分</w:t>
            </w:r>
          </w:p>
        </w:tc>
        <w:tc>
          <w:tcPr>
            <w:tcW w:w="5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41944A">
            <w:pPr>
              <w:pStyle w:val="7"/>
              <w:autoSpaceDE/>
              <w:autoSpaceDN/>
              <w:adjustRightInd/>
              <w:ind w:left="220" w:leftChars="100" w:firstLine="382" w:firstLineChars="200"/>
              <w:jc w:val="center"/>
              <w:rPr>
                <w:rFonts w:hint="default" w:cs="宋体"/>
                <w:spacing w:val="-4"/>
                <w:w w:val="95"/>
                <w:sz w:val="21"/>
                <w:szCs w:val="21"/>
                <w:lang w:val="en-US" w:eastAsia="zh-CN"/>
              </w:rPr>
            </w:pPr>
            <w:r>
              <w:rPr>
                <w:rFonts w:hint="default" w:cs="宋体"/>
                <w:spacing w:val="-4"/>
                <w:w w:val="95"/>
                <w:sz w:val="21"/>
                <w:szCs w:val="21"/>
                <w:lang w:val="en-US" w:eastAsia="zh-CN"/>
              </w:rPr>
              <w:t>达到行业期待的优秀水平</w:t>
            </w:r>
          </w:p>
        </w:tc>
      </w:tr>
    </w:tbl>
    <w:p w14:paraId="2EFB5F44">
      <w:pPr>
        <w:pStyle w:val="7"/>
        <w:numPr>
          <w:ilvl w:val="0"/>
          <w:numId w:val="0"/>
        </w:numPr>
        <w:kinsoku w:val="0"/>
        <w:overflowPunct w:val="0"/>
        <w:spacing w:before="165" w:line="360" w:lineRule="auto"/>
        <w:ind w:right="533"/>
        <w:rPr>
          <w:rFonts w:hint="default"/>
          <w:color w:val="auto"/>
          <w:spacing w:val="-9"/>
          <w:sz w:val="24"/>
          <w:szCs w:val="24"/>
          <w:lang w:val="en-US" w:eastAsia="zh-CN"/>
        </w:rPr>
      </w:pPr>
    </w:p>
    <w:p w14:paraId="2BAE0158">
      <w:pPr>
        <w:pStyle w:val="5"/>
        <w:spacing w:before="0" w:after="0" w:line="240" w:lineRule="auto"/>
        <w:ind w:firstLine="422" w:firstLineChars="200"/>
        <w:rPr>
          <w:rFonts w:hint="default" w:cs="Times New Roman"/>
          <w:sz w:val="21"/>
          <w:szCs w:val="21"/>
          <w:lang w:val="en-US" w:eastAsia="zh-CN"/>
        </w:rPr>
      </w:pPr>
      <w:bookmarkStart w:id="32" w:name="_bookmark12"/>
      <w:bookmarkEnd w:id="32"/>
      <w:bookmarkStart w:id="33" w:name="_Toc17620"/>
      <w:bookmarkStart w:id="34" w:name="_Toc8393"/>
      <w:r>
        <w:rPr>
          <w:rFonts w:hint="default" w:cs="Times New Roman"/>
          <w:sz w:val="21"/>
          <w:szCs w:val="21"/>
          <w:lang w:val="en-US" w:eastAsia="zh-CN"/>
        </w:rPr>
        <w:t>3.评分标准</w:t>
      </w:r>
      <w:bookmarkEnd w:id="33"/>
      <w:bookmarkEnd w:id="34"/>
    </w:p>
    <w:p w14:paraId="4C9A5A08">
      <w:pPr>
        <w:pStyle w:val="7"/>
        <w:kinsoku w:val="0"/>
        <w:overflowPunct w:val="0"/>
        <w:ind w:firstLine="384" w:firstLineChars="200"/>
        <w:jc w:val="both"/>
        <w:rPr>
          <w:rFonts w:hint="default" w:cs="宋体"/>
          <w:sz w:val="21"/>
          <w:szCs w:val="21"/>
        </w:rPr>
      </w:pPr>
      <w:r>
        <w:rPr>
          <w:rFonts w:hint="default" w:cs="宋体"/>
          <w:spacing w:val="-9"/>
          <w:sz w:val="21"/>
          <w:szCs w:val="21"/>
          <w:lang w:eastAsia="zh-CN"/>
        </w:rPr>
        <w:t>部件组装：</w:t>
      </w:r>
      <w:r>
        <w:rPr>
          <w:rFonts w:hint="default" w:cs="宋体"/>
          <w:sz w:val="21"/>
          <w:szCs w:val="21"/>
        </w:rPr>
        <w:t>组装任务完成后，参赛者设备实际安装必须与任务书效果图一致；</w:t>
      </w:r>
    </w:p>
    <w:p w14:paraId="7A231074">
      <w:pPr>
        <w:pStyle w:val="7"/>
        <w:kinsoku w:val="0"/>
        <w:overflowPunct w:val="0"/>
        <w:ind w:firstLine="420" w:firstLineChars="200"/>
        <w:jc w:val="both"/>
        <w:rPr>
          <w:rFonts w:hint="default" w:cs="宋体"/>
          <w:sz w:val="21"/>
          <w:szCs w:val="21"/>
        </w:rPr>
      </w:pPr>
      <w:r>
        <w:rPr>
          <w:rFonts w:hint="default" w:cs="宋体"/>
          <w:sz w:val="21"/>
          <w:szCs w:val="21"/>
          <w:lang w:val="en-US" w:eastAsia="zh-CN"/>
        </w:rPr>
        <w:t>气路连接：</w:t>
      </w:r>
      <w:r>
        <w:rPr>
          <w:rFonts w:hint="default" w:cs="宋体"/>
          <w:sz w:val="21"/>
          <w:szCs w:val="21"/>
          <w:lang w:eastAsia="zh-CN"/>
        </w:rPr>
        <w:t>气路连接必须与给定的气路图一致</w:t>
      </w:r>
      <w:r>
        <w:rPr>
          <w:rFonts w:hint="default" w:cs="宋体"/>
          <w:sz w:val="21"/>
          <w:szCs w:val="21"/>
        </w:rPr>
        <w:t>；</w:t>
      </w:r>
    </w:p>
    <w:p w14:paraId="391A2D77">
      <w:pPr>
        <w:pStyle w:val="7"/>
        <w:kinsoku w:val="0"/>
        <w:overflowPunct w:val="0"/>
        <w:ind w:firstLine="420" w:firstLineChars="200"/>
        <w:jc w:val="both"/>
        <w:rPr>
          <w:rFonts w:hint="default" w:cs="宋体"/>
          <w:sz w:val="21"/>
          <w:szCs w:val="21"/>
          <w:lang w:eastAsia="zh-CN"/>
        </w:rPr>
      </w:pPr>
      <w:r>
        <w:rPr>
          <w:rFonts w:hint="default" w:cs="宋体"/>
          <w:sz w:val="21"/>
          <w:szCs w:val="21"/>
          <w:lang w:val="en-US" w:eastAsia="zh-CN"/>
        </w:rPr>
        <w:t>电路连接：</w:t>
      </w:r>
      <w:r>
        <w:rPr>
          <w:rFonts w:hint="default" w:cs="宋体"/>
          <w:sz w:val="21"/>
          <w:szCs w:val="21"/>
          <w:lang w:eastAsia="zh-CN"/>
        </w:rPr>
        <w:t>电路连接</w:t>
      </w:r>
      <w:r>
        <w:rPr>
          <w:rFonts w:hint="default" w:cs="宋体"/>
          <w:sz w:val="21"/>
          <w:szCs w:val="21"/>
        </w:rPr>
        <w:t>必须符合“专业技术规范” 及“安全规范”</w:t>
      </w:r>
      <w:r>
        <w:rPr>
          <w:rFonts w:hint="default" w:cs="宋体"/>
          <w:sz w:val="21"/>
          <w:szCs w:val="21"/>
          <w:lang w:eastAsia="zh-CN"/>
        </w:rPr>
        <w:t>；</w:t>
      </w:r>
    </w:p>
    <w:p w14:paraId="1C789909">
      <w:pPr>
        <w:pStyle w:val="7"/>
        <w:kinsoku w:val="0"/>
        <w:overflowPunct w:val="0"/>
        <w:ind w:firstLine="420" w:firstLineChars="200"/>
        <w:jc w:val="both"/>
        <w:rPr>
          <w:rFonts w:hint="default" w:cs="宋体"/>
          <w:sz w:val="21"/>
          <w:szCs w:val="21"/>
          <w:lang w:val="en-US" w:eastAsia="zh-CN"/>
        </w:rPr>
      </w:pPr>
      <w:r>
        <w:rPr>
          <w:rFonts w:hint="default" w:cs="宋体"/>
          <w:sz w:val="21"/>
          <w:szCs w:val="21"/>
          <w:lang w:val="en-US" w:eastAsia="zh-CN"/>
        </w:rPr>
        <w:t>电气原理图绘制：若需绘制电路图，则电路图绘制遵循电气制图相关标准；</w:t>
      </w:r>
    </w:p>
    <w:p w14:paraId="2D68D49C">
      <w:pPr>
        <w:pStyle w:val="7"/>
        <w:kinsoku w:val="0"/>
        <w:overflowPunct w:val="0"/>
        <w:ind w:firstLine="420" w:firstLineChars="200"/>
        <w:jc w:val="both"/>
        <w:rPr>
          <w:rFonts w:hint="default" w:cs="宋体"/>
          <w:sz w:val="21"/>
          <w:szCs w:val="21"/>
          <w:lang w:val="en-US" w:eastAsia="zh-CN"/>
        </w:rPr>
      </w:pPr>
      <w:r>
        <w:rPr>
          <w:rFonts w:hint="default" w:cs="宋体"/>
          <w:sz w:val="21"/>
          <w:szCs w:val="21"/>
          <w:lang w:val="en-US" w:eastAsia="zh-CN"/>
        </w:rPr>
        <w:t>功能调试与排障：功能评分以现场裁判打分表为准，对设备运行状况进行流程化评分；</w:t>
      </w:r>
    </w:p>
    <w:p w14:paraId="5951AF28">
      <w:pPr>
        <w:pStyle w:val="7"/>
        <w:kinsoku w:val="0"/>
        <w:overflowPunct w:val="0"/>
        <w:ind w:firstLine="420" w:firstLineChars="200"/>
        <w:jc w:val="both"/>
        <w:rPr>
          <w:rFonts w:hint="default" w:cs="宋体"/>
          <w:sz w:val="21"/>
          <w:szCs w:val="21"/>
          <w:lang w:val="en-US" w:eastAsia="zh-CN"/>
        </w:rPr>
      </w:pPr>
      <w:r>
        <w:rPr>
          <w:rFonts w:hint="default" w:cs="宋体"/>
          <w:sz w:val="21"/>
          <w:szCs w:val="21"/>
          <w:lang w:val="en-US" w:eastAsia="zh-CN"/>
        </w:rPr>
        <w:t>安全生产规范：选手在整个比赛过程中，要严格遵守电工行业操作规范，具备良好的职业操守，违反相关内容将进行扣分。</w:t>
      </w:r>
    </w:p>
    <w:p w14:paraId="0EC10194">
      <w:pPr>
        <w:pStyle w:val="7"/>
        <w:kinsoku w:val="0"/>
        <w:overflowPunct w:val="0"/>
        <w:ind w:firstLine="420" w:firstLineChars="200"/>
        <w:jc w:val="both"/>
        <w:rPr>
          <w:rFonts w:hint="default" w:cs="宋体"/>
          <w:sz w:val="21"/>
          <w:szCs w:val="21"/>
          <w:lang w:val="en-US" w:eastAsia="zh-CN"/>
        </w:rPr>
      </w:pPr>
    </w:p>
    <w:p w14:paraId="7BD5E3CE">
      <w:pPr>
        <w:pStyle w:val="5"/>
        <w:spacing w:before="0" w:after="0" w:line="240" w:lineRule="auto"/>
        <w:ind w:firstLine="422" w:firstLineChars="200"/>
        <w:rPr>
          <w:rFonts w:hint="default" w:cs="Times New Roman"/>
          <w:sz w:val="21"/>
          <w:szCs w:val="21"/>
          <w:lang w:val="en-US" w:eastAsia="zh-CN"/>
        </w:rPr>
      </w:pPr>
      <w:bookmarkStart w:id="35" w:name="_Toc21948"/>
      <w:bookmarkStart w:id="36" w:name="_Toc15612"/>
      <w:bookmarkStart w:id="37" w:name="_Toc5158"/>
      <w:r>
        <w:rPr>
          <w:rFonts w:hint="default" w:cs="Times New Roman"/>
          <w:sz w:val="21"/>
          <w:szCs w:val="21"/>
          <w:lang w:val="en-US" w:eastAsia="zh-CN"/>
        </w:rPr>
        <w:fldChar w:fldCharType="begin"/>
      </w:r>
      <w:r>
        <w:rPr>
          <w:rFonts w:hint="default" w:cs="Times New Roman"/>
          <w:sz w:val="21"/>
          <w:szCs w:val="21"/>
          <w:lang w:val="en-US" w:eastAsia="zh-CN"/>
        </w:rPr>
        <w:instrText xml:space="preserve"> HYPERLINK \l _Toc12558 </w:instrText>
      </w:r>
      <w:r>
        <w:rPr>
          <w:rFonts w:hint="default" w:cs="Times New Roman"/>
          <w:sz w:val="21"/>
          <w:szCs w:val="21"/>
          <w:lang w:val="en-US" w:eastAsia="zh-CN"/>
        </w:rPr>
        <w:fldChar w:fldCharType="separate"/>
      </w:r>
      <w:r>
        <w:rPr>
          <w:rFonts w:hint="default" w:cs="Times New Roman"/>
          <w:sz w:val="21"/>
          <w:szCs w:val="21"/>
          <w:lang w:val="en-US" w:eastAsia="zh-CN"/>
        </w:rPr>
        <w:t>4.成绩并列</w:t>
      </w:r>
      <w:r>
        <w:rPr>
          <w:rFonts w:hint="default" w:cs="Times New Roman"/>
          <w:sz w:val="21"/>
          <w:szCs w:val="21"/>
          <w:lang w:val="en-US" w:eastAsia="zh-CN"/>
        </w:rPr>
        <w:fldChar w:fldCharType="end"/>
      </w:r>
      <w:bookmarkEnd w:id="35"/>
      <w:bookmarkEnd w:id="36"/>
      <w:bookmarkEnd w:id="37"/>
    </w:p>
    <w:p w14:paraId="085615ED">
      <w:pPr>
        <w:pStyle w:val="7"/>
        <w:numPr>
          <w:ilvl w:val="0"/>
          <w:numId w:val="0"/>
        </w:numPr>
        <w:kinsoku w:val="0"/>
        <w:overflowPunct w:val="0"/>
        <w:ind w:firstLine="420" w:firstLineChars="200"/>
        <w:jc w:val="both"/>
        <w:rPr>
          <w:rFonts w:hint="default" w:cs="宋体"/>
          <w:sz w:val="21"/>
          <w:szCs w:val="21"/>
          <w:lang w:val="en-US" w:eastAsia="zh-CN"/>
        </w:rPr>
      </w:pPr>
      <w:r>
        <w:rPr>
          <w:rFonts w:hint="default" w:cs="宋体"/>
          <w:sz w:val="21"/>
          <w:szCs w:val="21"/>
          <w:lang w:val="en-US" w:eastAsia="zh-CN"/>
        </w:rPr>
        <w:t>按比赛成绩从高到低排列参赛选手的名次。比赛成绩相同时，则以完成竞赛所用时间少者名次在前；若仍相同，则以功能评价得分高者名次在前；若仍相同，则以专业技术规范得分高者名次在前；若仍相同，则以安全生产规范得分高者名次在前；若还相同，由裁判长现场召开裁判会决定名次顺序。</w:t>
      </w:r>
    </w:p>
    <w:p w14:paraId="5E077815">
      <w:pPr>
        <w:pStyle w:val="5"/>
        <w:spacing w:before="0" w:after="0" w:line="240" w:lineRule="auto"/>
        <w:ind w:firstLine="422" w:firstLineChars="200"/>
        <w:rPr>
          <w:rFonts w:hint="default" w:cs="Times New Roman"/>
          <w:sz w:val="21"/>
          <w:szCs w:val="21"/>
          <w:lang w:val="en-US" w:eastAsia="zh-CN"/>
        </w:rPr>
      </w:pPr>
      <w:bookmarkStart w:id="38" w:name="_Toc27143"/>
      <w:bookmarkStart w:id="39" w:name="_Toc17565"/>
      <w:bookmarkStart w:id="40" w:name="_Toc11744"/>
      <w:r>
        <w:rPr>
          <w:rFonts w:hint="default" w:cs="Times New Roman"/>
          <w:sz w:val="21"/>
          <w:szCs w:val="21"/>
          <w:lang w:val="en-US" w:eastAsia="zh-CN"/>
        </w:rPr>
        <w:t>5.特殊情况</w:t>
      </w:r>
      <w:bookmarkEnd w:id="38"/>
      <w:bookmarkEnd w:id="39"/>
      <w:bookmarkEnd w:id="40"/>
    </w:p>
    <w:p w14:paraId="64508BFB">
      <w:pPr>
        <w:pStyle w:val="7"/>
        <w:numPr>
          <w:ilvl w:val="0"/>
          <w:numId w:val="0"/>
        </w:numPr>
        <w:kinsoku w:val="0"/>
        <w:overflowPunct w:val="0"/>
        <w:ind w:firstLine="420" w:firstLineChars="200"/>
        <w:jc w:val="both"/>
        <w:rPr>
          <w:rFonts w:hint="default" w:cs="宋体"/>
          <w:sz w:val="21"/>
          <w:szCs w:val="21"/>
          <w:lang w:val="en-US" w:eastAsia="zh-CN"/>
        </w:rPr>
      </w:pPr>
      <w:r>
        <w:rPr>
          <w:rFonts w:hint="default" w:cs="宋体"/>
          <w:sz w:val="21"/>
          <w:szCs w:val="21"/>
          <w:lang w:val="en-US" w:eastAsia="zh-CN"/>
        </w:rPr>
        <w:t>选手有下表中所列情形，需从“生产安全规范”中扣分，10 分扣完为止，扣分标准见表4。</w:t>
      </w:r>
    </w:p>
    <w:p w14:paraId="6B1C948A">
      <w:pPr>
        <w:pStyle w:val="7"/>
        <w:numPr>
          <w:ilvl w:val="0"/>
          <w:numId w:val="0"/>
        </w:numPr>
        <w:kinsoku w:val="0"/>
        <w:overflowPunct w:val="0"/>
        <w:ind w:firstLine="420" w:firstLineChars="200"/>
        <w:jc w:val="both"/>
        <w:rPr>
          <w:rFonts w:hint="default" w:cs="宋体"/>
          <w:sz w:val="21"/>
          <w:szCs w:val="21"/>
          <w:lang w:val="en-US" w:eastAsia="zh-CN"/>
        </w:rPr>
      </w:pPr>
    </w:p>
    <w:p w14:paraId="211478AF">
      <w:pPr>
        <w:pStyle w:val="7"/>
        <w:autoSpaceDE/>
        <w:autoSpaceDN/>
        <w:adjustRightInd/>
        <w:ind w:left="220" w:leftChars="100" w:firstLine="382" w:firstLineChars="200"/>
        <w:jc w:val="center"/>
        <w:rPr>
          <w:rFonts w:hint="default" w:cs="宋体"/>
          <w:spacing w:val="-4"/>
          <w:w w:val="95"/>
          <w:sz w:val="21"/>
          <w:szCs w:val="21"/>
          <w:lang w:val="en-US" w:eastAsia="zh-CN"/>
        </w:rPr>
      </w:pPr>
      <w:r>
        <w:rPr>
          <w:rFonts w:hint="default" w:cs="宋体"/>
          <w:spacing w:val="-4"/>
          <w:w w:val="95"/>
          <w:sz w:val="21"/>
          <w:szCs w:val="21"/>
          <w:lang w:val="en-US" w:eastAsia="zh-CN"/>
        </w:rPr>
        <w:t>表4 特殊情况扣分标准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677"/>
        <w:gridCol w:w="2841"/>
      </w:tblGrid>
      <w:tr w14:paraId="5922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568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C641BC8">
            <w:pPr>
              <w:tabs>
                <w:tab w:val="left" w:pos="0"/>
                <w:tab w:val="left" w:pos="900"/>
              </w:tabs>
              <w:spacing w:line="280" w:lineRule="exact"/>
              <w:jc w:val="center"/>
              <w:rPr>
                <w:rFonts w:hint="default" w:cs="宋体"/>
                <w:b/>
                <w:sz w:val="21"/>
                <w:szCs w:val="21"/>
                <w:lang w:val="en-US" w:eastAsia="zh-CN"/>
              </w:rPr>
            </w:pPr>
            <w:r>
              <w:rPr>
                <w:rFonts w:hint="default" w:cs="宋体"/>
                <w:b/>
                <w:sz w:val="21"/>
                <w:szCs w:val="21"/>
                <w:lang w:val="en-US" w:eastAsia="zh-CN"/>
              </w:rPr>
              <w:t>考核内容</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28643B">
            <w:pPr>
              <w:tabs>
                <w:tab w:val="left" w:pos="0"/>
                <w:tab w:val="left" w:pos="900"/>
              </w:tabs>
              <w:spacing w:line="280" w:lineRule="exact"/>
              <w:jc w:val="center"/>
              <w:rPr>
                <w:rFonts w:hint="default" w:cs="宋体"/>
                <w:b/>
                <w:sz w:val="21"/>
                <w:szCs w:val="21"/>
                <w:lang w:val="en-US" w:eastAsia="zh-CN"/>
              </w:rPr>
            </w:pPr>
            <w:r>
              <w:rPr>
                <w:rFonts w:hint="default" w:cs="宋体"/>
                <w:b/>
                <w:sz w:val="21"/>
                <w:szCs w:val="21"/>
                <w:lang w:val="en-US" w:eastAsia="zh-CN"/>
              </w:rPr>
              <w:t>扣分标准</w:t>
            </w:r>
          </w:p>
        </w:tc>
      </w:tr>
      <w:tr w14:paraId="2B27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55" w:hRule="atLeast"/>
          <w:jc w:val="center"/>
        </w:trPr>
        <w:tc>
          <w:tcPr>
            <w:tcW w:w="200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5CDAE47">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操作不当损坏设备</w:t>
            </w: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274A5F">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不正确使用工具，造成元器件损坏</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0A9424">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2分/次</w:t>
            </w:r>
          </w:p>
        </w:tc>
      </w:tr>
      <w:tr w14:paraId="34D2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324A6CC">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C34AFC">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违规上电造成设备损坏</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3D7784">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5分</w:t>
            </w:r>
          </w:p>
        </w:tc>
      </w:tr>
      <w:tr w14:paraId="2594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BCCC276">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违反赛场纪律</w:t>
            </w: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AD2979">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在比赛开始指令前提前操作</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92D5DA">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3 分</w:t>
            </w:r>
          </w:p>
        </w:tc>
      </w:tr>
      <w:tr w14:paraId="2112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09FCC1E">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5265AB">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不服从裁判指令</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323BF2">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3 分</w:t>
            </w:r>
          </w:p>
        </w:tc>
      </w:tr>
      <w:tr w14:paraId="6D3F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2" w:hRule="atLeast"/>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C491416">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D66029">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在结束指令后继续操作</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86932A">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3 分</w:t>
            </w:r>
          </w:p>
        </w:tc>
      </w:tr>
      <w:tr w14:paraId="1433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6EBB2EE">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63338C">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擅自离开本参赛队工位</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E7434">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取消比赛资格</w:t>
            </w:r>
          </w:p>
        </w:tc>
      </w:tr>
      <w:tr w14:paraId="2929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730806A">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7C2245">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与其他工位选手交流</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49340">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取消比赛资格</w:t>
            </w:r>
          </w:p>
        </w:tc>
      </w:tr>
      <w:tr w14:paraId="5ADA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A63E325">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09EF06">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在赛场内大声喧哗、无理取闹</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67E277">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取消比赛资格</w:t>
            </w:r>
          </w:p>
        </w:tc>
      </w:tr>
      <w:tr w14:paraId="1059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00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2B25FD3">
            <w:pPr>
              <w:pStyle w:val="7"/>
              <w:autoSpaceDE/>
              <w:autoSpaceDN/>
              <w:adjustRightInd/>
              <w:ind w:left="220" w:leftChars="100"/>
              <w:rPr>
                <w:rFonts w:hint="default" w:cs="宋体"/>
                <w:spacing w:val="-4"/>
                <w:w w:val="95"/>
                <w:sz w:val="21"/>
                <w:szCs w:val="21"/>
                <w:lang w:val="en-US" w:eastAsia="zh-CN"/>
              </w:rPr>
            </w:pPr>
          </w:p>
        </w:tc>
        <w:tc>
          <w:tcPr>
            <w:tcW w:w="3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8011CA">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携带纸张、U 盘、手机等物品进入工位</w:t>
            </w:r>
          </w:p>
        </w:tc>
        <w:tc>
          <w:tcPr>
            <w:tcW w:w="28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7350FA">
            <w:pPr>
              <w:pStyle w:val="7"/>
              <w:autoSpaceDE/>
              <w:autoSpaceDN/>
              <w:adjustRightInd/>
              <w:ind w:left="220" w:leftChars="100"/>
              <w:rPr>
                <w:rFonts w:hint="default" w:cs="宋体"/>
                <w:spacing w:val="-4"/>
                <w:w w:val="95"/>
                <w:sz w:val="21"/>
                <w:szCs w:val="21"/>
                <w:lang w:val="en-US" w:eastAsia="zh-CN"/>
              </w:rPr>
            </w:pPr>
            <w:r>
              <w:rPr>
                <w:rFonts w:hint="default" w:cs="宋体"/>
                <w:spacing w:val="-4"/>
                <w:w w:val="95"/>
                <w:sz w:val="21"/>
                <w:szCs w:val="21"/>
                <w:lang w:val="en-US" w:eastAsia="zh-CN"/>
              </w:rPr>
              <w:t>取消比赛资格</w:t>
            </w:r>
          </w:p>
        </w:tc>
      </w:tr>
    </w:tbl>
    <w:p w14:paraId="591CA94B">
      <w:pPr>
        <w:pStyle w:val="4"/>
        <w:autoSpaceDE/>
        <w:autoSpaceDN/>
        <w:adjustRightInd/>
        <w:ind w:left="0" w:firstLine="0"/>
        <w:rPr>
          <w:rFonts w:hint="default"/>
          <w:color w:val="auto"/>
          <w:sz w:val="32"/>
          <w:szCs w:val="24"/>
          <w:lang w:eastAsia="zh-CN"/>
        </w:rPr>
      </w:pPr>
      <w:bookmarkStart w:id="41" w:name="_Toc11126"/>
    </w:p>
    <w:p w14:paraId="0B1D23CA">
      <w:pPr>
        <w:pStyle w:val="4"/>
        <w:ind w:left="0" w:firstLine="562" w:firstLineChars="200"/>
        <w:rPr>
          <w:rFonts w:hint="default"/>
          <w:sz w:val="28"/>
          <w:szCs w:val="24"/>
          <w:lang w:val="en-US" w:eastAsia="zh-CN"/>
        </w:rPr>
      </w:pPr>
      <w:bookmarkStart w:id="42" w:name="_Toc3040"/>
      <w:bookmarkStart w:id="43" w:name="_Toc29749"/>
      <w:r>
        <w:rPr>
          <w:rFonts w:hint="default"/>
          <w:sz w:val="28"/>
          <w:szCs w:val="24"/>
          <w:lang w:val="en-US" w:eastAsia="zh-CN"/>
        </w:rPr>
        <w:t>（四）公布方式(保密安排)</w:t>
      </w:r>
      <w:bookmarkEnd w:id="41"/>
      <w:bookmarkEnd w:id="42"/>
      <w:bookmarkEnd w:id="43"/>
    </w:p>
    <w:p w14:paraId="6946D452">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1.本项目赛题、评分标准赛前保密。</w:t>
      </w:r>
    </w:p>
    <w:p w14:paraId="6A95D461">
      <w:pPr>
        <w:pStyle w:val="7"/>
        <w:numPr>
          <w:ilvl w:val="0"/>
          <w:numId w:val="0"/>
        </w:numPr>
        <w:kinsoku w:val="0"/>
        <w:overflowPunct w:val="0"/>
        <w:ind w:firstLine="420" w:firstLineChars="200"/>
        <w:jc w:val="both"/>
        <w:rPr>
          <w:rFonts w:hint="default"/>
          <w:sz w:val="21"/>
          <w:szCs w:val="24"/>
          <w:lang w:val="en-US" w:eastAsia="zh-CN"/>
        </w:rPr>
      </w:pPr>
      <w:r>
        <w:rPr>
          <w:rFonts w:hint="default" w:cs="Times New Roman"/>
          <w:sz w:val="21"/>
          <w:szCs w:val="21"/>
          <w:lang w:val="en-US" w:eastAsia="zh-CN"/>
        </w:rPr>
        <w:t>2.本项目赛题在比赛开始后向选手公布，评分标准在裁判评分时向选手公布；本赛项赛题和评分标准在比赛开始后，向裁判公布。</w:t>
      </w:r>
    </w:p>
    <w:p w14:paraId="364C6050">
      <w:pPr>
        <w:pStyle w:val="3"/>
        <w:numPr>
          <w:ilvl w:val="0"/>
          <w:numId w:val="1"/>
        </w:numPr>
        <w:ind w:left="258"/>
        <w:rPr>
          <w:rFonts w:hint="default"/>
          <w:sz w:val="32"/>
          <w:szCs w:val="24"/>
          <w:lang w:val="en-US" w:eastAsia="zh-CN"/>
        </w:rPr>
      </w:pPr>
      <w:bookmarkStart w:id="44" w:name="_Toc20565"/>
      <w:bookmarkStart w:id="45" w:name="_Toc23005"/>
      <w:r>
        <w:rPr>
          <w:rFonts w:hint="default"/>
          <w:sz w:val="32"/>
          <w:szCs w:val="24"/>
          <w:lang w:val="en-US" w:eastAsia="zh-CN"/>
        </w:rPr>
        <w:t>竞赛细则</w:t>
      </w:r>
      <w:bookmarkEnd w:id="44"/>
      <w:bookmarkEnd w:id="45"/>
    </w:p>
    <w:p w14:paraId="560DC103">
      <w:pPr>
        <w:pStyle w:val="4"/>
        <w:numPr>
          <w:ilvl w:val="0"/>
          <w:numId w:val="0"/>
        </w:numPr>
        <w:ind w:left="0" w:firstLine="562" w:firstLineChars="200"/>
        <w:rPr>
          <w:rFonts w:hint="default"/>
          <w:sz w:val="28"/>
          <w:szCs w:val="24"/>
          <w:lang w:val="en-US" w:eastAsia="zh-CN"/>
        </w:rPr>
      </w:pPr>
      <w:bookmarkStart w:id="46" w:name="_Toc22056"/>
      <w:bookmarkStart w:id="47" w:name="_Toc25952"/>
      <w:r>
        <w:rPr>
          <w:rFonts w:hint="default"/>
          <w:sz w:val="28"/>
          <w:szCs w:val="24"/>
          <w:lang w:val="en-US" w:eastAsia="zh-CN"/>
        </w:rPr>
        <w:t>（一）竞赛时间安排</w:t>
      </w:r>
      <w:bookmarkEnd w:id="46"/>
      <w:bookmarkEnd w:id="47"/>
    </w:p>
    <w:p w14:paraId="28D302D9">
      <w:pPr>
        <w:pStyle w:val="7"/>
        <w:numPr>
          <w:ilvl w:val="0"/>
          <w:numId w:val="0"/>
        </w:numPr>
        <w:kinsoku w:val="0"/>
        <w:overflowPunct w:val="0"/>
        <w:ind w:firstLine="420" w:firstLineChars="200"/>
        <w:jc w:val="both"/>
        <w:rPr>
          <w:rFonts w:hint="default"/>
          <w:sz w:val="21"/>
          <w:szCs w:val="24"/>
          <w:lang w:val="en-US" w:eastAsia="zh-CN"/>
        </w:rPr>
      </w:pPr>
      <w:r>
        <w:rPr>
          <w:rFonts w:hint="default" w:cs="Times New Roman"/>
          <w:sz w:val="21"/>
          <w:szCs w:val="21"/>
          <w:lang w:val="en-US" w:eastAsia="zh-CN"/>
        </w:rPr>
        <w:t>机电一体化赛项每场竞赛时间4个小时，具体以竞赛指南日程为准。 各参赛队选手参加公开抽签，确定比赛场次，按照抽签确定的时段进入比赛场地参赛。参赛选手在规定时间内，根据赛场提供的赛项任务书（赛题）和有关资料，以现场技能操作方式，完成赛项任务。</w:t>
      </w:r>
    </w:p>
    <w:p w14:paraId="33AFAD35">
      <w:pPr>
        <w:pStyle w:val="4"/>
        <w:numPr>
          <w:ilvl w:val="0"/>
          <w:numId w:val="0"/>
        </w:numPr>
        <w:ind w:left="0" w:firstLine="562" w:firstLineChars="200"/>
        <w:rPr>
          <w:rFonts w:hint="default" w:cs="Times New Roman"/>
          <w:sz w:val="28"/>
          <w:szCs w:val="28"/>
          <w:lang w:val="en-US" w:eastAsia="zh-CN"/>
        </w:rPr>
      </w:pPr>
      <w:bookmarkStart w:id="48" w:name="_Toc20203"/>
      <w:bookmarkStart w:id="49" w:name="_Toc9549"/>
      <w:bookmarkStart w:id="50" w:name="_Toc6677"/>
      <w:r>
        <w:rPr>
          <w:rFonts w:hint="default" w:cs="Times New Roman"/>
          <w:sz w:val="28"/>
          <w:szCs w:val="28"/>
          <w:lang w:val="en-US" w:eastAsia="zh-CN"/>
        </w:rPr>
        <w:t>（二）</w:t>
      </w:r>
      <w:r>
        <w:rPr>
          <w:rFonts w:hint="default" w:cs="Times New Roman"/>
          <w:sz w:val="28"/>
          <w:szCs w:val="28"/>
          <w:lang w:val="en-US" w:eastAsia="zh-CN"/>
        </w:rPr>
        <w:fldChar w:fldCharType="begin"/>
      </w:r>
      <w:r>
        <w:rPr>
          <w:rFonts w:hint="default" w:cs="Times New Roman"/>
          <w:sz w:val="28"/>
          <w:szCs w:val="28"/>
          <w:lang w:val="en-US" w:eastAsia="zh-CN"/>
        </w:rPr>
        <w:instrText xml:space="preserve"> HYPERLINK \l _Toc12558 </w:instrText>
      </w:r>
      <w:r>
        <w:rPr>
          <w:rFonts w:hint="default" w:cs="Times New Roman"/>
          <w:sz w:val="28"/>
          <w:szCs w:val="28"/>
          <w:lang w:val="en-US" w:eastAsia="zh-CN"/>
        </w:rPr>
        <w:fldChar w:fldCharType="separate"/>
      </w:r>
      <w:r>
        <w:rPr>
          <w:rFonts w:hint="default" w:cs="Times New Roman"/>
          <w:sz w:val="28"/>
          <w:szCs w:val="28"/>
          <w:lang w:val="en-US" w:eastAsia="zh-CN"/>
        </w:rPr>
        <w:t>裁判员分组和职责</w:t>
      </w:r>
      <w:r>
        <w:rPr>
          <w:rFonts w:hint="default" w:cs="Times New Roman"/>
          <w:sz w:val="28"/>
          <w:szCs w:val="28"/>
          <w:lang w:val="en-US" w:eastAsia="zh-CN"/>
        </w:rPr>
        <w:fldChar w:fldCharType="end"/>
      </w:r>
      <w:bookmarkEnd w:id="48"/>
      <w:bookmarkEnd w:id="49"/>
      <w:bookmarkEnd w:id="50"/>
    </w:p>
    <w:p w14:paraId="0E1A8D28">
      <w:pPr>
        <w:pStyle w:val="7"/>
        <w:numPr>
          <w:ilvl w:val="0"/>
          <w:numId w:val="0"/>
        </w:numPr>
        <w:kinsoku w:val="0"/>
        <w:overflowPunct w:val="0"/>
        <w:ind w:firstLine="420" w:firstLineChars="200"/>
        <w:jc w:val="both"/>
        <w:rPr>
          <w:rFonts w:hint="default" w:cs="Times New Roman"/>
          <w:sz w:val="21"/>
          <w:szCs w:val="21"/>
          <w:lang w:val="en-US" w:eastAsia="zh-CN"/>
        </w:rPr>
      </w:pPr>
      <w:bookmarkStart w:id="51" w:name="_Toc26891"/>
      <w:r>
        <w:rPr>
          <w:rFonts w:hint="default" w:cs="Times New Roman"/>
          <w:sz w:val="21"/>
          <w:szCs w:val="21"/>
          <w:lang w:val="en-US" w:eastAsia="zh-CN"/>
        </w:rPr>
        <w:t>本次竞赛设立裁判组，由1名裁判长，若干裁判员组成。</w:t>
      </w:r>
    </w:p>
    <w:p w14:paraId="0A2C7D3C">
      <w:pPr>
        <w:pStyle w:val="7"/>
        <w:numPr>
          <w:ilvl w:val="0"/>
          <w:numId w:val="0"/>
        </w:numPr>
        <w:kinsoku w:val="0"/>
        <w:overflowPunct w:val="0"/>
        <w:ind w:firstLine="422" w:firstLineChars="200"/>
        <w:jc w:val="both"/>
        <w:rPr>
          <w:rFonts w:hint="default" w:cs="Times New Roman"/>
          <w:b/>
          <w:sz w:val="21"/>
          <w:szCs w:val="21"/>
          <w:lang w:val="en-US" w:eastAsia="zh-CN"/>
        </w:rPr>
      </w:pPr>
      <w:r>
        <w:rPr>
          <w:rFonts w:hint="default" w:cs="Times New Roman"/>
          <w:b/>
          <w:sz w:val="21"/>
          <w:szCs w:val="21"/>
          <w:lang w:val="en-US" w:eastAsia="zh-CN"/>
        </w:rPr>
        <w:t>裁判长</w:t>
      </w:r>
      <w:bookmarkEnd w:id="51"/>
      <w:r>
        <w:rPr>
          <w:rFonts w:hint="default" w:cs="Times New Roman"/>
          <w:b/>
          <w:sz w:val="21"/>
          <w:szCs w:val="21"/>
          <w:lang w:val="en-US" w:eastAsia="zh-CN"/>
        </w:rPr>
        <w:t>:</w:t>
      </w:r>
    </w:p>
    <w:p w14:paraId="01CB01F1">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裁判长应公平公正组织执裁工作，不参与评分。</w:t>
      </w:r>
    </w:p>
    <w:p w14:paraId="33C9A594">
      <w:pPr>
        <w:pStyle w:val="7"/>
        <w:numPr>
          <w:ilvl w:val="0"/>
          <w:numId w:val="0"/>
        </w:numPr>
        <w:kinsoku w:val="0"/>
        <w:overflowPunct w:val="0"/>
        <w:ind w:firstLine="422" w:firstLineChars="200"/>
        <w:jc w:val="both"/>
        <w:rPr>
          <w:rFonts w:hint="default" w:cs="Times New Roman"/>
          <w:b/>
          <w:sz w:val="21"/>
          <w:szCs w:val="21"/>
          <w:lang w:val="en-US" w:eastAsia="zh-CN"/>
        </w:rPr>
      </w:pPr>
      <w:bookmarkStart w:id="52" w:name="_Toc31497"/>
      <w:bookmarkStart w:id="53" w:name="_Toc32350"/>
      <w:bookmarkStart w:id="54" w:name="_Toc524170447"/>
      <w:r>
        <w:rPr>
          <w:rFonts w:hint="default" w:cs="Times New Roman"/>
          <w:b/>
          <w:sz w:val="21"/>
          <w:szCs w:val="21"/>
          <w:lang w:val="en-US" w:eastAsia="zh-CN"/>
        </w:rPr>
        <w:t>裁判员</w:t>
      </w:r>
      <w:bookmarkEnd w:id="52"/>
      <w:bookmarkEnd w:id="53"/>
      <w:bookmarkEnd w:id="54"/>
      <w:r>
        <w:rPr>
          <w:rFonts w:hint="default" w:cs="Times New Roman"/>
          <w:b/>
          <w:sz w:val="21"/>
          <w:szCs w:val="21"/>
          <w:lang w:val="en-US" w:eastAsia="zh-CN"/>
        </w:rPr>
        <w:t>:</w:t>
      </w:r>
    </w:p>
    <w:p w14:paraId="2D76754D">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裁判员应服从本项目裁判长的工作安排，诚实、客观和公正执裁。</w:t>
      </w:r>
    </w:p>
    <w:p w14:paraId="2B238F9C">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根据裁判员的相关工作经验以及赛前培训的情况，裁判员分成多个小组进行现场执裁。</w:t>
      </w:r>
    </w:p>
    <w:p w14:paraId="4E95DB59">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监考组：按照本技术文件要求负责竞赛现场的检录、监考工作，主要包括：核对选手证件、维护赛场纪律、控制竞赛时间、记录赛场情况、做好监考记录等，纠正选手违规行为，并对情节严重者及时向裁判长报告；按程序核查实际操作竞赛使用材料、设备，参与竞赛的抽签工作。</w:t>
      </w:r>
    </w:p>
    <w:p w14:paraId="63E6FF62">
      <w:pPr>
        <w:pStyle w:val="7"/>
        <w:numPr>
          <w:ilvl w:val="0"/>
          <w:numId w:val="0"/>
        </w:numPr>
        <w:kinsoku w:val="0"/>
        <w:overflowPunct w:val="0"/>
        <w:ind w:firstLine="420" w:firstLineChars="200"/>
        <w:jc w:val="both"/>
        <w:rPr>
          <w:rFonts w:hint="default" w:cs="Times New Roman"/>
          <w:sz w:val="21"/>
          <w:szCs w:val="21"/>
          <w:lang w:val="en-US" w:eastAsia="zh-CN"/>
        </w:rPr>
      </w:pPr>
      <w:bookmarkStart w:id="55" w:name="_Toc135424231"/>
      <w:bookmarkStart w:id="56" w:name="_Toc16733"/>
      <w:r>
        <w:rPr>
          <w:rFonts w:hint="default" w:cs="Times New Roman"/>
          <w:sz w:val="21"/>
          <w:szCs w:val="21"/>
          <w:lang w:val="en-US" w:eastAsia="zh-CN"/>
        </w:rPr>
        <w:t>评判组：负责竞赛的评判、成绩复核和汇总工作</w:t>
      </w:r>
      <w:bookmarkEnd w:id="55"/>
      <w:bookmarkEnd w:id="56"/>
      <w:bookmarkStart w:id="57" w:name="_Toc32576"/>
      <w:bookmarkStart w:id="58" w:name="_Toc135424232"/>
      <w:r>
        <w:rPr>
          <w:rFonts w:hint="default" w:cs="Times New Roman"/>
          <w:sz w:val="21"/>
          <w:szCs w:val="21"/>
          <w:lang w:val="en-US" w:eastAsia="zh-CN"/>
        </w:rPr>
        <w:t>。</w:t>
      </w:r>
      <w:bookmarkEnd w:id="57"/>
      <w:bookmarkEnd w:id="58"/>
    </w:p>
    <w:p w14:paraId="51069B4A">
      <w:pPr>
        <w:pStyle w:val="7"/>
        <w:numPr>
          <w:ilvl w:val="0"/>
          <w:numId w:val="0"/>
        </w:numPr>
        <w:kinsoku w:val="0"/>
        <w:overflowPunct w:val="0"/>
        <w:ind w:firstLine="420" w:firstLineChars="200"/>
        <w:jc w:val="both"/>
        <w:rPr>
          <w:rFonts w:hint="default" w:cs="Times New Roman"/>
          <w:sz w:val="21"/>
          <w:szCs w:val="21"/>
          <w:lang w:val="en-US" w:eastAsia="zh-CN"/>
        </w:rPr>
      </w:pPr>
      <w:r>
        <w:rPr>
          <w:rFonts w:hint="default" w:cs="Times New Roman"/>
          <w:sz w:val="21"/>
          <w:szCs w:val="21"/>
          <w:lang w:val="en-US" w:eastAsia="zh-CN"/>
        </w:rPr>
        <w:t>时间记录组：对于中途暂停比赛或者提前完成比赛的选手，负责记录实际工作时间。</w:t>
      </w:r>
    </w:p>
    <w:p w14:paraId="353940EF">
      <w:pPr>
        <w:pStyle w:val="7"/>
        <w:numPr>
          <w:ilvl w:val="0"/>
          <w:numId w:val="0"/>
        </w:numPr>
        <w:kinsoku w:val="0"/>
        <w:overflowPunct w:val="0"/>
        <w:ind w:firstLine="420" w:firstLineChars="200"/>
        <w:jc w:val="both"/>
        <w:rPr>
          <w:rFonts w:hint="default" w:cs="Times New Roman"/>
          <w:sz w:val="21"/>
          <w:szCs w:val="21"/>
          <w:lang w:val="en-US" w:eastAsia="zh-CN"/>
        </w:rPr>
      </w:pPr>
    </w:p>
    <w:p w14:paraId="74375465">
      <w:pPr>
        <w:pStyle w:val="7"/>
        <w:numPr>
          <w:ilvl w:val="0"/>
          <w:numId w:val="0"/>
        </w:numPr>
        <w:kinsoku w:val="0"/>
        <w:overflowPunct w:val="0"/>
        <w:ind w:firstLine="420" w:firstLineChars="200"/>
        <w:jc w:val="both"/>
        <w:rPr>
          <w:rFonts w:hint="default" w:cs="Times New Roman"/>
          <w:sz w:val="21"/>
          <w:szCs w:val="21"/>
          <w:lang w:val="en-US" w:eastAsia="zh-CN"/>
        </w:rPr>
      </w:pPr>
    </w:p>
    <w:p w14:paraId="154665F4">
      <w:pPr>
        <w:pStyle w:val="4"/>
        <w:numPr>
          <w:ilvl w:val="0"/>
          <w:numId w:val="0"/>
        </w:numPr>
        <w:ind w:left="0" w:firstLine="562" w:firstLineChars="200"/>
        <w:rPr>
          <w:rFonts w:hint="default" w:cs="Times New Roman"/>
          <w:sz w:val="28"/>
          <w:szCs w:val="28"/>
          <w:lang w:val="en-US" w:eastAsia="zh-CN"/>
        </w:rPr>
      </w:pPr>
      <w:bookmarkStart w:id="59" w:name="_Toc19409"/>
      <w:bookmarkStart w:id="60" w:name="_Toc18293"/>
      <w:bookmarkStart w:id="61" w:name="_Toc4140"/>
      <w:r>
        <w:rPr>
          <w:rFonts w:hint="default" w:cs="Times New Roman"/>
          <w:sz w:val="28"/>
          <w:szCs w:val="28"/>
          <w:lang w:val="en-US" w:eastAsia="zh-CN"/>
        </w:rPr>
        <w:t>（三）</w:t>
      </w:r>
      <w:r>
        <w:rPr>
          <w:rFonts w:hint="default" w:cs="Times New Roman"/>
          <w:sz w:val="28"/>
          <w:szCs w:val="28"/>
          <w:lang w:val="en-US" w:eastAsia="zh-CN"/>
        </w:rPr>
        <w:fldChar w:fldCharType="begin"/>
      </w:r>
      <w:r>
        <w:rPr>
          <w:rFonts w:hint="default" w:cs="Times New Roman"/>
          <w:sz w:val="28"/>
          <w:szCs w:val="28"/>
          <w:lang w:val="en-US" w:eastAsia="zh-CN"/>
        </w:rPr>
        <w:instrText xml:space="preserve"> HYPERLINK \l "_Toc29349" </w:instrText>
      </w:r>
      <w:r>
        <w:rPr>
          <w:rFonts w:hint="default" w:cs="Times New Roman"/>
          <w:sz w:val="28"/>
          <w:szCs w:val="28"/>
          <w:lang w:val="en-US" w:eastAsia="zh-CN"/>
        </w:rPr>
        <w:fldChar w:fldCharType="separate"/>
      </w:r>
      <w:r>
        <w:rPr>
          <w:rFonts w:hint="default" w:cs="Times New Roman"/>
          <w:sz w:val="28"/>
          <w:szCs w:val="28"/>
          <w:lang w:val="en-US" w:eastAsia="zh-CN"/>
        </w:rPr>
        <w:t>竞赛实施细则</w:t>
      </w:r>
      <w:r>
        <w:rPr>
          <w:rFonts w:hint="default" w:cs="Times New Roman"/>
          <w:sz w:val="28"/>
          <w:szCs w:val="28"/>
          <w:lang w:val="en-US" w:eastAsia="zh-CN"/>
        </w:rPr>
        <w:fldChar w:fldCharType="end"/>
      </w:r>
      <w:bookmarkEnd w:id="59"/>
      <w:bookmarkEnd w:id="60"/>
      <w:bookmarkEnd w:id="61"/>
    </w:p>
    <w:p w14:paraId="231A0E17">
      <w:pPr>
        <w:pStyle w:val="5"/>
        <w:spacing w:before="0" w:after="0" w:line="240" w:lineRule="auto"/>
        <w:ind w:firstLine="422" w:firstLineChars="200"/>
        <w:rPr>
          <w:rFonts w:hint="default" w:cs="Times New Roman"/>
          <w:sz w:val="21"/>
          <w:szCs w:val="21"/>
          <w:lang w:val="en-US" w:eastAsia="zh-CN"/>
        </w:rPr>
      </w:pPr>
      <w:bookmarkStart w:id="62" w:name="_Toc3518"/>
      <w:bookmarkStart w:id="63" w:name="_Toc25458"/>
      <w:r>
        <w:rPr>
          <w:rFonts w:hint="default" w:cs="Times New Roman"/>
          <w:sz w:val="21"/>
          <w:szCs w:val="21"/>
          <w:lang w:val="en-US" w:eastAsia="zh-CN"/>
        </w:rPr>
        <w:fldChar w:fldCharType="begin"/>
      </w:r>
      <w:r>
        <w:rPr>
          <w:rFonts w:hint="default" w:cs="Times New Roman"/>
          <w:sz w:val="21"/>
          <w:szCs w:val="21"/>
          <w:lang w:val="en-US" w:eastAsia="zh-CN"/>
        </w:rPr>
        <w:instrText xml:space="preserve"> HYPERLINK \l _Toc5977 </w:instrText>
      </w:r>
      <w:r>
        <w:rPr>
          <w:rFonts w:hint="default" w:cs="Times New Roman"/>
          <w:sz w:val="21"/>
          <w:szCs w:val="21"/>
          <w:lang w:val="en-US" w:eastAsia="zh-CN"/>
        </w:rPr>
        <w:fldChar w:fldCharType="separate"/>
      </w:r>
      <w:r>
        <w:rPr>
          <w:rFonts w:hint="default" w:cs="Times New Roman"/>
          <w:sz w:val="21"/>
          <w:szCs w:val="21"/>
          <w:lang w:val="en-US" w:eastAsia="zh-CN"/>
        </w:rPr>
        <w:t>1.赛前准备</w:t>
      </w:r>
      <w:r>
        <w:rPr>
          <w:rFonts w:hint="default" w:cs="Times New Roman"/>
          <w:sz w:val="21"/>
          <w:szCs w:val="21"/>
          <w:lang w:val="en-US" w:eastAsia="zh-CN"/>
        </w:rPr>
        <w:fldChar w:fldCharType="end"/>
      </w:r>
      <w:bookmarkEnd w:id="62"/>
      <w:bookmarkEnd w:id="63"/>
    </w:p>
    <w:p w14:paraId="263204A1">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（1）根据实际需要，裁判长于赛前 1-2 天对场地设备设施等准备工作进行最终确认；裁判长与裁判员于赛前 1天进行集中培训、技术对接和设备设施、耗材确认。</w:t>
      </w:r>
    </w:p>
    <w:p w14:paraId="5039E827">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（2）参赛选手报到时需领取参赛证、参赛资料、参赛物料、抽取参赛选手编号，报到完毕后提前前往赛场，熟悉场地。</w:t>
      </w:r>
    </w:p>
    <w:p w14:paraId="11AA0AD7">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（3）赛前 30 分钟，到指定检录口进行检录，由检录人员核实编号，开赛后迟到 15 分钟的选手视为自动放弃参赛。</w:t>
      </w:r>
    </w:p>
    <w:p w14:paraId="56153964">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（4）检录完毕，每位选手按照选手抽签工工位号到指定位置。可携带竞赛规定必备的工具，用具（如记号笔）等。所有通讯、照相、摄像、磁盘等工具一律不得带入比赛现场。</w:t>
      </w:r>
    </w:p>
    <w:p w14:paraId="6B1CBB9C">
      <w:pPr>
        <w:pStyle w:val="5"/>
        <w:spacing w:before="0" w:after="0" w:line="240" w:lineRule="auto"/>
        <w:ind w:firstLine="422" w:firstLineChars="200"/>
        <w:rPr>
          <w:rFonts w:hint="default" w:cs="Times New Roman"/>
          <w:sz w:val="21"/>
          <w:szCs w:val="21"/>
          <w:lang w:val="en-US" w:eastAsia="zh-CN"/>
        </w:rPr>
      </w:pPr>
      <w:bookmarkStart w:id="64" w:name="_Toc6346"/>
      <w:bookmarkStart w:id="65" w:name="_Toc12910"/>
      <w:r>
        <w:rPr>
          <w:rFonts w:hint="default" w:cs="Times New Roman"/>
          <w:sz w:val="21"/>
          <w:szCs w:val="21"/>
          <w:lang w:val="en-US" w:eastAsia="zh-CN"/>
        </w:rPr>
        <w:t>2.竞赛形式</w:t>
      </w:r>
      <w:bookmarkEnd w:id="64"/>
      <w:bookmarkEnd w:id="65"/>
    </w:p>
    <w:p w14:paraId="4E821EB5">
      <w:pPr>
        <w:autoSpaceDE/>
        <w:autoSpaceDN/>
        <w:adjustRightInd/>
        <w:ind w:firstLine="382" w:firstLineChars="200"/>
        <w:jc w:val="both"/>
        <w:rPr>
          <w:rFonts w:hint="default" w:cs="宋体"/>
          <w:spacing w:val="-12"/>
          <w:sz w:val="21"/>
          <w:szCs w:val="21"/>
          <w:lang w:val="en-US" w:eastAsia="zh-CN"/>
        </w:rPr>
      </w:pPr>
      <w:r>
        <w:rPr>
          <w:rFonts w:hint="default" w:cs="宋体"/>
          <w:spacing w:val="-4"/>
          <w:w w:val="95"/>
          <w:kern w:val="2"/>
          <w:sz w:val="21"/>
          <w:szCs w:val="21"/>
          <w:lang w:val="en-US" w:eastAsia="zh-CN" w:bidi="ar-SA"/>
        </w:rPr>
        <w:t>“机电一体化”赛项为双人赛项，选手根据任务书要求完成相关竞赛内容。</w:t>
      </w:r>
    </w:p>
    <w:p w14:paraId="765470E4">
      <w:pPr>
        <w:pStyle w:val="5"/>
        <w:spacing w:before="0" w:after="0" w:line="240" w:lineRule="auto"/>
        <w:ind w:firstLine="422" w:firstLineChars="200"/>
        <w:rPr>
          <w:rFonts w:hint="default" w:cs="Times New Roman"/>
          <w:sz w:val="21"/>
          <w:szCs w:val="21"/>
          <w:lang w:val="en-US" w:eastAsia="zh-CN"/>
        </w:rPr>
      </w:pPr>
      <w:bookmarkStart w:id="66" w:name="_Toc21790"/>
      <w:bookmarkStart w:id="67" w:name="_Toc28354"/>
      <w:r>
        <w:rPr>
          <w:rFonts w:hint="default" w:cs="Times New Roman"/>
          <w:sz w:val="21"/>
          <w:szCs w:val="21"/>
          <w:lang w:val="en-US" w:eastAsia="zh-CN"/>
        </w:rPr>
        <w:fldChar w:fldCharType="begin"/>
      </w:r>
      <w:r>
        <w:rPr>
          <w:rFonts w:hint="default" w:cs="Times New Roman"/>
          <w:sz w:val="21"/>
          <w:szCs w:val="21"/>
          <w:lang w:val="en-US" w:eastAsia="zh-CN"/>
        </w:rPr>
        <w:instrText xml:space="preserve"> HYPERLINK \l _Toc27434 </w:instrText>
      </w:r>
      <w:r>
        <w:rPr>
          <w:rFonts w:hint="default" w:cs="Times New Roman"/>
          <w:sz w:val="21"/>
          <w:szCs w:val="21"/>
          <w:lang w:val="en-US" w:eastAsia="zh-CN"/>
        </w:rPr>
        <w:fldChar w:fldCharType="separate"/>
      </w:r>
      <w:r>
        <w:rPr>
          <w:rFonts w:hint="default" w:cs="Times New Roman"/>
          <w:sz w:val="21"/>
          <w:szCs w:val="21"/>
          <w:lang w:val="en-US" w:eastAsia="zh-CN"/>
        </w:rPr>
        <w:t>3.竞赛实施</w:t>
      </w:r>
      <w:r>
        <w:rPr>
          <w:rFonts w:hint="default" w:cs="Times New Roman"/>
          <w:sz w:val="21"/>
          <w:szCs w:val="21"/>
          <w:lang w:val="en-US" w:eastAsia="zh-CN"/>
        </w:rPr>
        <w:fldChar w:fldCharType="end"/>
      </w:r>
      <w:bookmarkEnd w:id="66"/>
      <w:bookmarkEnd w:id="67"/>
    </w:p>
    <w:p w14:paraId="73325AE9">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（1）在竞赛过程中，选手应遵守安全操作规程，接受裁判员的监督和警示，确保参赛选手人身安全及设备安全。</w:t>
      </w:r>
    </w:p>
    <w:p w14:paraId="6F65E7DB">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（2）由裁判长统一告知选手比赛规则、时间和流程后，裁判长宣布比赛正式开始并计时。比赛过程中，选手若需休息、饮水或去洗手间，一律计算在操作时间内。</w:t>
      </w:r>
    </w:p>
    <w:p w14:paraId="0EC13B16">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（3）竞赛过程中严禁交头接耳，也不能相互借用工具、仪器仪表。各参赛选手间不能走动、交谈。</w:t>
      </w:r>
    </w:p>
    <w:p w14:paraId="2D757B76">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（4）选手进入赛场后，不得擅自离开赛场，因病或其他原因离开赛场或终止比赛，应向裁判示意，须经赛场裁判长同意，并在赛场记录表上签字确认后，方可离开赛场并在赛场工作人员指引下到达指定地点。</w:t>
      </w:r>
    </w:p>
    <w:p w14:paraId="61D35093">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5）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w:t>
      </w:r>
    </w:p>
    <w:p w14:paraId="0F956965">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（6）参赛选手如提前结束竞赛，应举手向裁判员报告，竞赛结束时间由裁判员进行记录。参赛选手结束竞赛后不得再进行任何操作，离场后也不得再进入赛场。</w:t>
      </w:r>
    </w:p>
    <w:p w14:paraId="16D26C76">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（7）裁判长在竞赛结束前 30 分钟、10 分钟进行竞赛剩余时间提醒。裁判长发布竞赛结束指令后，未完成任务的参赛选手应立即停止操作，不得以任何理由拖延竞赛时间，并按要求清理赛位。</w:t>
      </w:r>
    </w:p>
    <w:p w14:paraId="66E9A736">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（8）选手须按照程序提交比赛结果，配合裁判做好赛场情况记录，并签字确认，裁判提出签名要求时，不得无故拒绝。</w:t>
      </w:r>
    </w:p>
    <w:p w14:paraId="0370A77A">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（9）裁判长发布比赛结束指令后所有未完成任务参赛选手立即停止操作，不得以任何理由拖延竞赛时间。</w:t>
      </w:r>
    </w:p>
    <w:p w14:paraId="34D126CA">
      <w:pPr>
        <w:pStyle w:val="5"/>
        <w:spacing w:before="0" w:after="0" w:line="240" w:lineRule="auto"/>
        <w:ind w:firstLine="422" w:firstLineChars="200"/>
        <w:rPr>
          <w:rFonts w:hint="default" w:cs="Times New Roman"/>
          <w:sz w:val="21"/>
          <w:szCs w:val="21"/>
          <w:lang w:val="en-US" w:eastAsia="zh-CN"/>
        </w:rPr>
      </w:pPr>
      <w:bookmarkStart w:id="68" w:name="_Toc22511"/>
      <w:bookmarkStart w:id="69" w:name="_Toc29406"/>
      <w:r>
        <w:rPr>
          <w:rFonts w:hint="default" w:cs="Times New Roman"/>
          <w:sz w:val="21"/>
          <w:szCs w:val="21"/>
          <w:lang w:val="en-US" w:eastAsia="zh-CN"/>
        </w:rPr>
        <w:fldChar w:fldCharType="begin"/>
      </w:r>
      <w:r>
        <w:rPr>
          <w:rFonts w:hint="default" w:cs="Times New Roman"/>
          <w:sz w:val="21"/>
          <w:szCs w:val="21"/>
          <w:lang w:val="en-US" w:eastAsia="zh-CN"/>
        </w:rPr>
        <w:instrText xml:space="preserve"> HYPERLINK \l _Toc5977 </w:instrText>
      </w:r>
      <w:r>
        <w:rPr>
          <w:rFonts w:hint="default" w:cs="Times New Roman"/>
          <w:sz w:val="21"/>
          <w:szCs w:val="21"/>
          <w:lang w:val="en-US" w:eastAsia="zh-CN"/>
        </w:rPr>
        <w:fldChar w:fldCharType="separate"/>
      </w:r>
      <w:r>
        <w:rPr>
          <w:rFonts w:hint="default" w:cs="Times New Roman"/>
          <w:sz w:val="21"/>
          <w:szCs w:val="21"/>
          <w:lang w:val="en-US" w:eastAsia="zh-CN"/>
        </w:rPr>
        <w:t>4.技术违规处理</w:t>
      </w:r>
      <w:r>
        <w:rPr>
          <w:rFonts w:hint="default" w:cs="Times New Roman"/>
          <w:sz w:val="21"/>
          <w:szCs w:val="21"/>
          <w:lang w:val="en-US" w:eastAsia="zh-CN"/>
        </w:rPr>
        <w:fldChar w:fldCharType="end"/>
      </w:r>
      <w:bookmarkEnd w:id="68"/>
      <w:bookmarkEnd w:id="69"/>
    </w:p>
    <w:p w14:paraId="019D259A">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（1）不得携带其他未经组委会认可的设备、工具、机具、材料等参赛，不听劝告的取消比赛资格。 </w:t>
      </w:r>
    </w:p>
    <w:p w14:paraId="4FD99CB5">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（2）竞赛过程中，选手不得接受场外送进的设备、工具等。 </w:t>
      </w:r>
    </w:p>
    <w:p w14:paraId="6B1991C1">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（3）选手不得损坏、拆卸、改装赛场提供的设备、工具和工作台等设施。 </w:t>
      </w:r>
    </w:p>
    <w:p w14:paraId="01079265">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（4）选手不得在任何竞赛区域、位置、赛件上作任何涉嫌作弊的标记。如比赛开始前发现有明显痕迹，可上报裁判员进行处理，严重者可按作弊处理。 </w:t>
      </w:r>
    </w:p>
    <w:p w14:paraId="5FCDA1CC">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（5）在完成竞赛任务的过程中，因操作不当导致事故，扣 10～20 分，情况严重者取消比赛资格。 </w:t>
      </w:r>
    </w:p>
    <w:p w14:paraId="07B1B552">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（6）因违规操作损坏赛场提供的设备、污染赛场环境等不符合职业规范的行为，视情节扣 5～10 分。</w:t>
      </w:r>
    </w:p>
    <w:p w14:paraId="45BFB954">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（7）扰乱赛场秩序，干扰裁判员工作，视情节扣 5～10 分，情况严重者取消比赛资格。</w:t>
      </w:r>
    </w:p>
    <w:p w14:paraId="5FE24D19">
      <w:pPr>
        <w:pStyle w:val="5"/>
        <w:spacing w:before="0" w:after="0" w:line="240" w:lineRule="auto"/>
        <w:ind w:firstLine="422" w:firstLineChars="200"/>
        <w:rPr>
          <w:rFonts w:hint="default" w:cs="Times New Roman"/>
          <w:sz w:val="21"/>
          <w:szCs w:val="21"/>
          <w:lang w:val="en-US" w:eastAsia="zh-CN"/>
        </w:rPr>
      </w:pPr>
      <w:bookmarkStart w:id="70" w:name="_Toc30596"/>
      <w:bookmarkStart w:id="71" w:name="_Toc23669"/>
      <w:r>
        <w:rPr>
          <w:rFonts w:hint="default" w:cs="Times New Roman"/>
          <w:sz w:val="21"/>
          <w:szCs w:val="21"/>
          <w:lang w:val="en-US" w:eastAsia="zh-CN"/>
        </w:rPr>
        <w:fldChar w:fldCharType="begin"/>
      </w:r>
      <w:r>
        <w:rPr>
          <w:rFonts w:hint="default" w:cs="Times New Roman"/>
          <w:sz w:val="21"/>
          <w:szCs w:val="21"/>
          <w:lang w:val="en-US" w:eastAsia="zh-CN"/>
        </w:rPr>
        <w:instrText xml:space="preserve"> HYPERLINK \l _Toc27434 </w:instrText>
      </w:r>
      <w:r>
        <w:rPr>
          <w:rFonts w:hint="default" w:cs="Times New Roman"/>
          <w:sz w:val="21"/>
          <w:szCs w:val="21"/>
          <w:lang w:val="en-US" w:eastAsia="zh-CN"/>
        </w:rPr>
        <w:fldChar w:fldCharType="separate"/>
      </w:r>
      <w:r>
        <w:rPr>
          <w:rFonts w:hint="default" w:cs="Times New Roman"/>
          <w:sz w:val="21"/>
          <w:szCs w:val="21"/>
          <w:lang w:val="en-US" w:eastAsia="zh-CN"/>
        </w:rPr>
        <w:t>5.问题或争议处理</w:t>
      </w:r>
      <w:r>
        <w:rPr>
          <w:rFonts w:hint="default" w:cs="Times New Roman"/>
          <w:sz w:val="21"/>
          <w:szCs w:val="21"/>
          <w:lang w:val="en-US" w:eastAsia="zh-CN"/>
        </w:rPr>
        <w:fldChar w:fldCharType="end"/>
      </w:r>
      <w:bookmarkEnd w:id="70"/>
      <w:bookmarkEnd w:id="71"/>
    </w:p>
    <w:p w14:paraId="1FC3F05F">
      <w:pPr>
        <w:pStyle w:val="7"/>
        <w:autoSpaceDE/>
        <w:autoSpaceDN/>
        <w:adjustRightInd/>
        <w:ind w:firstLine="382" w:firstLineChars="200"/>
        <w:jc w:val="both"/>
        <w:rPr>
          <w:rFonts w:hint="default" w:cs="宋体"/>
          <w:sz w:val="21"/>
          <w:szCs w:val="21"/>
          <w:lang w:val="en-US" w:eastAsia="zh-CN"/>
        </w:rPr>
        <w:sectPr>
          <w:footerReference r:id="rId4" w:type="default"/>
          <w:pgSz w:w="11910" w:h="16840"/>
          <w:pgMar w:top="1460" w:right="1260" w:bottom="1240" w:left="1540" w:header="0" w:footer="1041" w:gutter="0"/>
          <w:lnNumType w:countBy="0" w:distance="360"/>
          <w:pgNumType w:start="1"/>
          <w:cols w:space="720" w:num="1"/>
        </w:sectPr>
      </w:pPr>
      <w:r>
        <w:rPr>
          <w:rFonts w:hint="default" w:cs="宋体"/>
          <w:spacing w:val="-4"/>
          <w:w w:val="95"/>
          <w:sz w:val="21"/>
          <w:szCs w:val="21"/>
          <w:lang w:val="en-US" w:eastAsia="zh-CN"/>
        </w:rPr>
        <w:t>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14:paraId="4E3BF76A">
      <w:pPr>
        <w:pStyle w:val="3"/>
        <w:numPr>
          <w:ilvl w:val="0"/>
          <w:numId w:val="1"/>
        </w:numPr>
        <w:ind w:left="258"/>
        <w:rPr>
          <w:rFonts w:hint="default"/>
          <w:sz w:val="32"/>
          <w:szCs w:val="24"/>
          <w:lang w:val="en-US" w:eastAsia="zh-CN"/>
        </w:rPr>
      </w:pPr>
      <w:bookmarkStart w:id="72" w:name="_bookmark13"/>
      <w:bookmarkEnd w:id="72"/>
      <w:bookmarkStart w:id="73" w:name="_bookmark14"/>
      <w:bookmarkEnd w:id="73"/>
      <w:bookmarkStart w:id="74" w:name="_bookmark15"/>
      <w:bookmarkEnd w:id="74"/>
      <w:bookmarkStart w:id="75" w:name="_Toc21088"/>
      <w:bookmarkStart w:id="76" w:name="_Toc13226"/>
      <w:bookmarkStart w:id="77" w:name="_Toc24037"/>
      <w:bookmarkStart w:id="78" w:name="_Toc6747"/>
      <w:r>
        <w:rPr>
          <w:rFonts w:hint="default"/>
          <w:sz w:val="32"/>
          <w:szCs w:val="24"/>
          <w:lang w:val="en-US" w:eastAsia="zh-CN"/>
        </w:rPr>
        <w:t>竞赛场地、设施设备</w:t>
      </w:r>
      <w:bookmarkEnd w:id="75"/>
      <w:bookmarkEnd w:id="76"/>
      <w:r>
        <w:rPr>
          <w:rFonts w:hint="default"/>
          <w:sz w:val="32"/>
          <w:szCs w:val="24"/>
          <w:lang w:val="en-US" w:eastAsia="zh-CN"/>
        </w:rPr>
        <w:t>等安排</w:t>
      </w:r>
      <w:bookmarkEnd w:id="77"/>
      <w:bookmarkEnd w:id="78"/>
    </w:p>
    <w:p w14:paraId="686107AC">
      <w:pPr>
        <w:pStyle w:val="4"/>
        <w:ind w:left="0" w:firstLine="562" w:firstLineChars="200"/>
        <w:rPr>
          <w:rFonts w:hint="default"/>
          <w:sz w:val="28"/>
          <w:szCs w:val="24"/>
          <w:lang w:val="en-US" w:eastAsia="zh-CN"/>
        </w:rPr>
      </w:pPr>
      <w:bookmarkStart w:id="79" w:name="_Toc19914"/>
      <w:bookmarkStart w:id="80" w:name="_Toc13017"/>
      <w:bookmarkStart w:id="81" w:name="_Toc24774"/>
      <w:bookmarkStart w:id="82" w:name="_Toc7000"/>
      <w:r>
        <w:rPr>
          <w:rFonts w:hint="default"/>
          <w:sz w:val="28"/>
          <w:szCs w:val="24"/>
          <w:lang w:val="en-US" w:eastAsia="zh-CN"/>
        </w:rPr>
        <w:t>（一）</w:t>
      </w:r>
      <w:bookmarkEnd w:id="79"/>
      <w:bookmarkEnd w:id="80"/>
      <w:r>
        <w:rPr>
          <w:rFonts w:hint="default"/>
          <w:sz w:val="28"/>
          <w:szCs w:val="24"/>
          <w:lang w:val="en-US" w:eastAsia="zh-CN"/>
        </w:rPr>
        <w:t>赛场规格要求</w:t>
      </w:r>
      <w:bookmarkEnd w:id="81"/>
      <w:bookmarkEnd w:id="82"/>
    </w:p>
    <w:p w14:paraId="5C4EC7C9">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1.竞赛场地设立6个竞赛工位，2个备用工位，每个工位的面积9平米，长3米、宽3米，每个工位标明编号。</w:t>
      </w:r>
    </w:p>
    <w:p w14:paraId="0A49B77B">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2.每个工位应配备：YL-235A光机电一体化实训考核平台、编程电脑、空气压缩机、线盒等。</w:t>
      </w:r>
    </w:p>
    <w:p w14:paraId="0571FE83">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3.每个工位应配备：380V-50Hz交流电源，电缆线应符合安全要求，并配漏电保护器；所有的电控箱和用电设备的外壳都应有良好的接地。</w:t>
      </w:r>
    </w:p>
    <w:p w14:paraId="3053D46D">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4.竞赛场地应有监控所有选手竞赛全过程的视频摄录设备等。</w:t>
      </w:r>
    </w:p>
    <w:p w14:paraId="646299F6">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5.竞赛工位内应配备便于竞赛选手操作的板凳。</w:t>
      </w:r>
    </w:p>
    <w:p w14:paraId="60C03865">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6.竞赛场地内必须有良好地通风、照明、消防设施，场地保持干净整洁严禁堆放杂物，安全通道畅通,在有触电危险的地方应悬挂“小心触电”标识，在赛场明显的位置应悬挂时钟。</w:t>
      </w:r>
    </w:p>
    <w:p w14:paraId="28BD83EB">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7.竞赛现场应配备相关的工作人员以及设备维修人员、电器维护人员、医护人员、安全人员等。</w:t>
      </w:r>
    </w:p>
    <w:p w14:paraId="62F9D78D">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8.竞赛现场应提供一处与竞赛场地隔离的较为安静的评分场所进行打分。</w:t>
      </w:r>
    </w:p>
    <w:p w14:paraId="18449375">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9.竞赛现场应在大赛前两天将工位、竞赛设备等调试到位并对参赛选手开放，以便选手熟悉场地、掌握设备性能取得好的成绩。在报到的当天下午选手只能参观赛场不容许对设备进行操作，晚上封闭赛场。</w:t>
      </w:r>
    </w:p>
    <w:p w14:paraId="6A67390E">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10.按照大赛文件的要求准备相关的比赛相关工具及办公用品。</w:t>
      </w:r>
    </w:p>
    <w:p w14:paraId="30C5B9B7">
      <w:pPr>
        <w:pStyle w:val="4"/>
        <w:ind w:left="0" w:firstLine="562" w:firstLineChars="200"/>
        <w:rPr>
          <w:rFonts w:hint="default" w:cs="Times New Roman"/>
          <w:sz w:val="28"/>
          <w:szCs w:val="28"/>
          <w:lang w:val="en-US" w:eastAsia="zh-CN"/>
        </w:rPr>
      </w:pPr>
      <w:bookmarkStart w:id="83" w:name="_Toc3778"/>
      <w:bookmarkStart w:id="84" w:name="_Toc10307"/>
      <w:r>
        <w:rPr>
          <w:rFonts w:hint="default" w:cs="Times New Roman"/>
          <w:sz w:val="28"/>
          <w:szCs w:val="28"/>
          <w:lang w:val="en-US" w:eastAsia="zh-CN"/>
        </w:rPr>
        <w:t>（二）场地设施</w:t>
      </w:r>
      <w:bookmarkEnd w:id="83"/>
      <w:bookmarkEnd w:id="84"/>
    </w:p>
    <w:p w14:paraId="770FC564">
      <w:pPr>
        <w:pStyle w:val="5"/>
        <w:spacing w:before="0" w:after="0" w:line="240" w:lineRule="auto"/>
        <w:ind w:firstLine="422" w:firstLineChars="200"/>
        <w:rPr>
          <w:rFonts w:hint="default"/>
          <w:sz w:val="21"/>
          <w:szCs w:val="24"/>
          <w:lang w:val="en-US" w:eastAsia="zh-CN"/>
        </w:rPr>
      </w:pPr>
      <w:bookmarkStart w:id="85" w:name="_Toc21003"/>
      <w:r>
        <w:rPr>
          <w:rFonts w:hint="default"/>
          <w:sz w:val="21"/>
          <w:szCs w:val="24"/>
          <w:lang w:val="en-US" w:eastAsia="zh-CN"/>
        </w:rPr>
        <w:t>1.场地设施设备清单</w:t>
      </w:r>
      <w:bookmarkEnd w:id="85"/>
    </w:p>
    <w:p w14:paraId="54263383">
      <w:pPr>
        <w:widowControl/>
        <w:jc w:val="center"/>
        <w:textAlignment w:val="baseline"/>
        <w:rPr>
          <w:rFonts w:hint="default" w:cs="宋体"/>
          <w:sz w:val="21"/>
          <w:szCs w:val="21"/>
        </w:rPr>
      </w:pPr>
      <w:r>
        <w:rPr>
          <w:rFonts w:hint="default" w:cs="宋体"/>
          <w:sz w:val="21"/>
          <w:szCs w:val="21"/>
          <w:lang w:val="en-US" w:eastAsia="zh-CN"/>
        </w:rPr>
        <w:t>表5 机电一体化</w:t>
      </w:r>
      <w:r>
        <w:rPr>
          <w:rFonts w:hint="default" w:cs="宋体"/>
          <w:spacing w:val="3"/>
          <w:sz w:val="21"/>
          <w:szCs w:val="21"/>
        </w:rPr>
        <w:t>项目赛场提供设施设备清单表</w:t>
      </w:r>
    </w:p>
    <w:tbl>
      <w:tblPr>
        <w:tblStyle w:val="15"/>
        <w:tblW w:w="89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1361"/>
        <w:gridCol w:w="1644"/>
        <w:gridCol w:w="2777"/>
        <w:gridCol w:w="1077"/>
        <w:gridCol w:w="1191"/>
      </w:tblGrid>
      <w:tr w14:paraId="3CD92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8D4F5C">
            <w:pPr>
              <w:widowControl/>
              <w:jc w:val="center"/>
              <w:textAlignment w:val="baseline"/>
              <w:rPr>
                <w:rFonts w:hint="default" w:cs="宋体"/>
                <w:sz w:val="21"/>
                <w:szCs w:val="21"/>
              </w:rPr>
            </w:pPr>
            <w:r>
              <w:rPr>
                <w:rFonts w:hint="default" w:cs="宋体"/>
                <w:spacing w:val="4"/>
                <w:sz w:val="21"/>
                <w:szCs w:val="21"/>
              </w:rPr>
              <w:t>设备编</w:t>
            </w:r>
            <w:r>
              <w:rPr>
                <w:rFonts w:hint="default" w:cs="宋体"/>
                <w:sz w:val="21"/>
                <w:szCs w:val="21"/>
              </w:rPr>
              <w:t>号</w:t>
            </w:r>
          </w:p>
        </w:tc>
        <w:tc>
          <w:tcPr>
            <w:tcW w:w="1361"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04A1D3C6">
            <w:pPr>
              <w:widowControl/>
              <w:jc w:val="center"/>
              <w:textAlignment w:val="baseline"/>
              <w:rPr>
                <w:rFonts w:hint="default" w:cs="宋体"/>
                <w:sz w:val="21"/>
                <w:szCs w:val="21"/>
              </w:rPr>
            </w:pPr>
            <w:r>
              <w:rPr>
                <w:rFonts w:hint="default" w:cs="宋体"/>
                <w:spacing w:val="2"/>
                <w:sz w:val="21"/>
                <w:szCs w:val="21"/>
              </w:rPr>
              <w:t>设备类型</w:t>
            </w:r>
          </w:p>
        </w:tc>
        <w:tc>
          <w:tcPr>
            <w:tcW w:w="16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FE759B2">
            <w:pPr>
              <w:widowControl/>
              <w:jc w:val="center"/>
              <w:textAlignment w:val="baseline"/>
              <w:rPr>
                <w:rFonts w:hint="default" w:cs="宋体"/>
                <w:sz w:val="21"/>
                <w:szCs w:val="21"/>
              </w:rPr>
            </w:pPr>
            <w:r>
              <w:rPr>
                <w:rFonts w:hint="default" w:cs="宋体"/>
                <w:spacing w:val="-3"/>
                <w:sz w:val="21"/>
                <w:szCs w:val="21"/>
              </w:rPr>
              <w:t>名称</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CB82B6">
            <w:pPr>
              <w:widowControl/>
              <w:jc w:val="center"/>
              <w:textAlignment w:val="baseline"/>
              <w:rPr>
                <w:rFonts w:hint="default" w:cs="宋体"/>
                <w:sz w:val="21"/>
                <w:szCs w:val="21"/>
              </w:rPr>
            </w:pPr>
            <w:r>
              <w:rPr>
                <w:rFonts w:hint="default" w:cs="宋体"/>
                <w:spacing w:val="1"/>
                <w:sz w:val="21"/>
                <w:szCs w:val="21"/>
              </w:rPr>
              <w:t>需求规格描述</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51E1C2">
            <w:pPr>
              <w:widowControl/>
              <w:jc w:val="center"/>
              <w:textAlignment w:val="baseline"/>
              <w:rPr>
                <w:rFonts w:hint="default" w:cs="宋体"/>
                <w:sz w:val="21"/>
                <w:szCs w:val="21"/>
              </w:rPr>
            </w:pPr>
            <w:r>
              <w:rPr>
                <w:rFonts w:hint="default" w:cs="宋体"/>
                <w:spacing w:val="-2"/>
                <w:sz w:val="21"/>
                <w:szCs w:val="21"/>
              </w:rPr>
              <w:t>应用区域</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DAE3508">
            <w:pPr>
              <w:widowControl/>
              <w:jc w:val="center"/>
              <w:textAlignment w:val="baseline"/>
              <w:rPr>
                <w:rFonts w:hint="default" w:cs="宋体"/>
                <w:sz w:val="21"/>
                <w:szCs w:val="21"/>
              </w:rPr>
            </w:pPr>
            <w:r>
              <w:rPr>
                <w:rFonts w:hint="default" w:cs="宋体"/>
                <w:spacing w:val="-3"/>
                <w:sz w:val="21"/>
                <w:szCs w:val="21"/>
              </w:rPr>
              <w:t>备注</w:t>
            </w:r>
          </w:p>
        </w:tc>
      </w:tr>
      <w:tr w14:paraId="49745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auto" w:sz="4" w:space="0"/>
              <w:tl2br w:val="nil"/>
              <w:tr2bl w:val="nil"/>
            </w:tcBorders>
            <w:noWrap w:val="0"/>
            <w:vAlign w:val="center"/>
          </w:tcPr>
          <w:p w14:paraId="414D3700">
            <w:pPr>
              <w:widowControl/>
              <w:jc w:val="center"/>
              <w:textAlignment w:val="baseline"/>
              <w:rPr>
                <w:rFonts w:hint="default" w:cs="宋体"/>
                <w:sz w:val="21"/>
                <w:szCs w:val="21"/>
              </w:rPr>
            </w:pPr>
            <w:r>
              <w:rPr>
                <w:rFonts w:hint="default" w:cs="宋体"/>
                <w:sz w:val="21"/>
                <w:szCs w:val="21"/>
              </w:rPr>
              <w:t>1</w:t>
            </w:r>
          </w:p>
        </w:tc>
        <w:tc>
          <w:tcPr>
            <w:tcW w:w="1361" w:type="dxa"/>
            <w:vMerge w:val="restart"/>
            <w:tcBorders>
              <w:top w:val="single" w:color="auto" w:sz="4" w:space="0"/>
              <w:left w:val="single" w:color="auto" w:sz="4" w:space="0"/>
              <w:bottom w:val="single" w:color="000000" w:sz="4" w:space="0"/>
              <w:right w:val="single" w:color="auto" w:sz="4" w:space="0"/>
              <w:tl2br w:val="nil"/>
              <w:tr2bl w:val="nil"/>
            </w:tcBorders>
            <w:noWrap w:val="0"/>
            <w:vAlign w:val="center"/>
          </w:tcPr>
          <w:p w14:paraId="7F555795">
            <w:pPr>
              <w:widowControl/>
              <w:jc w:val="center"/>
              <w:textAlignment w:val="baseline"/>
              <w:rPr>
                <w:rFonts w:hint="default" w:cs="宋体"/>
                <w:kern w:val="2"/>
                <w:sz w:val="21"/>
                <w:szCs w:val="21"/>
                <w:lang w:val="en-US" w:eastAsia="en-US" w:bidi="ar-SA"/>
              </w:rPr>
            </w:pPr>
            <w:r>
              <w:rPr>
                <w:rFonts w:hint="default" w:cs="宋体"/>
                <w:spacing w:val="-2"/>
                <w:sz w:val="21"/>
                <w:szCs w:val="21"/>
              </w:rPr>
              <w:t>工位设施设备</w:t>
            </w:r>
          </w:p>
        </w:tc>
        <w:tc>
          <w:tcPr>
            <w:tcW w:w="1644"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482545AB">
            <w:pPr>
              <w:widowControl/>
              <w:jc w:val="center"/>
              <w:textAlignment w:val="baseline"/>
              <w:rPr>
                <w:rFonts w:hint="default" w:cs="宋体"/>
                <w:spacing w:val="-1"/>
                <w:kern w:val="2"/>
                <w:sz w:val="21"/>
                <w:szCs w:val="21"/>
                <w:lang w:val="en-US" w:eastAsia="zh-CN" w:bidi="ar-SA"/>
              </w:rPr>
            </w:pPr>
            <w:r>
              <w:rPr>
                <w:rFonts w:hint="default" w:cs="宋体"/>
                <w:spacing w:val="-1"/>
                <w:sz w:val="21"/>
                <w:szCs w:val="21"/>
              </w:rPr>
              <w:t>工作台</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C10E8F">
            <w:pPr>
              <w:widowControl/>
              <w:jc w:val="center"/>
              <w:textAlignment w:val="baseline"/>
              <w:rPr>
                <w:rFonts w:hint="default" w:cs="宋体"/>
                <w:spacing w:val="-1"/>
                <w:kern w:val="2"/>
                <w:sz w:val="21"/>
                <w:szCs w:val="21"/>
                <w:lang w:val="en-US" w:eastAsia="zh-CN" w:bidi="ar-SA"/>
              </w:rPr>
            </w:pPr>
            <w:r>
              <w:rPr>
                <w:rFonts w:hint="default" w:cs="宋体"/>
                <w:spacing w:val="-1"/>
                <w:sz w:val="21"/>
                <w:szCs w:val="21"/>
                <w:lang w:val="en-US" w:eastAsia="zh-CN"/>
              </w:rPr>
              <w:t>铝合金安装平台、尺寸：119*80*85</w:t>
            </w:r>
          </w:p>
        </w:tc>
        <w:tc>
          <w:tcPr>
            <w:tcW w:w="107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8C8CC9">
            <w:pPr>
              <w:widowControl/>
              <w:jc w:val="center"/>
              <w:textAlignment w:val="baseline"/>
              <w:rPr>
                <w:rFonts w:hint="default" w:cs="宋体"/>
                <w:spacing w:val="-1"/>
                <w:sz w:val="21"/>
                <w:szCs w:val="21"/>
              </w:rPr>
            </w:pPr>
            <w:r>
              <w:rPr>
                <w:rFonts w:hint="default" w:cs="宋体"/>
                <w:spacing w:val="-1"/>
                <w:sz w:val="21"/>
                <w:szCs w:val="21"/>
              </w:rPr>
              <w:t>操作区</w:t>
            </w:r>
          </w:p>
          <w:p w14:paraId="7E23637F">
            <w:pPr>
              <w:widowControl/>
              <w:jc w:val="center"/>
              <w:textAlignment w:val="baseline"/>
              <w:rPr>
                <w:rFonts w:hint="default" w:cs="宋体"/>
                <w:spacing w:val="-1"/>
                <w:kern w:val="2"/>
                <w:sz w:val="21"/>
                <w:szCs w:val="21"/>
                <w:lang w:val="en-US" w:eastAsia="zh-CN" w:bidi="ar-SA"/>
              </w:rPr>
            </w:pPr>
            <w:r>
              <w:rPr>
                <w:rFonts w:hint="default" w:cs="宋体"/>
                <w:spacing w:val="-1"/>
                <w:sz w:val="21"/>
                <w:szCs w:val="21"/>
              </w:rPr>
              <w:t>选手工位</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74A409">
            <w:pPr>
              <w:pStyle w:val="18"/>
              <w:widowControl/>
              <w:jc w:val="center"/>
              <w:textAlignment w:val="baseline"/>
              <w:rPr>
                <w:rFonts w:hint="default" w:ascii="宋体" w:hAnsi="宋体" w:cs="宋体"/>
                <w:sz w:val="21"/>
                <w:szCs w:val="21"/>
              </w:rPr>
            </w:pPr>
            <w:r>
              <w:rPr>
                <w:rFonts w:hint="default" w:ascii="宋体" w:hAnsi="宋体" w:cs="宋体"/>
                <w:sz w:val="21"/>
                <w:szCs w:val="21"/>
                <w:lang w:eastAsia="zh-CN"/>
              </w:rPr>
              <w:t>每工位1台</w:t>
            </w:r>
          </w:p>
        </w:tc>
      </w:tr>
      <w:tr w14:paraId="397E3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auto" w:sz="4" w:space="0"/>
              <w:tl2br w:val="nil"/>
              <w:tr2bl w:val="nil"/>
            </w:tcBorders>
            <w:noWrap w:val="0"/>
            <w:vAlign w:val="center"/>
          </w:tcPr>
          <w:p w14:paraId="7092ACDB">
            <w:pPr>
              <w:widowControl/>
              <w:jc w:val="center"/>
              <w:textAlignment w:val="baseline"/>
              <w:rPr>
                <w:rFonts w:hint="default" w:cs="宋体"/>
                <w:sz w:val="21"/>
                <w:szCs w:val="21"/>
              </w:rPr>
            </w:pPr>
            <w:r>
              <w:rPr>
                <w:rFonts w:hint="default" w:cs="宋体"/>
                <w:sz w:val="21"/>
                <w:szCs w:val="21"/>
              </w:rPr>
              <w:t>2</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620AB6DE">
            <w:pPr>
              <w:pStyle w:val="18"/>
              <w:widowControl/>
              <w:jc w:val="center"/>
              <w:textAlignment w:val="baseline"/>
              <w:rPr>
                <w:rFonts w:hint="default" w:ascii="宋体" w:hAnsi="宋体" w:cs="宋体"/>
                <w:sz w:val="21"/>
                <w:szCs w:val="21"/>
              </w:rPr>
            </w:pPr>
          </w:p>
        </w:tc>
        <w:tc>
          <w:tcPr>
            <w:tcW w:w="1644"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7113B4CF">
            <w:pPr>
              <w:widowControl/>
              <w:jc w:val="center"/>
              <w:textAlignment w:val="baseline"/>
              <w:rPr>
                <w:rFonts w:hint="default" w:cs="宋体"/>
                <w:spacing w:val="-1"/>
                <w:kern w:val="2"/>
                <w:sz w:val="21"/>
                <w:szCs w:val="21"/>
                <w:lang w:val="en-US" w:eastAsia="zh-CN" w:bidi="ar-SA"/>
              </w:rPr>
            </w:pPr>
            <w:r>
              <w:rPr>
                <w:rFonts w:hint="default" w:cs="宋体"/>
                <w:spacing w:val="-2"/>
                <w:sz w:val="21"/>
                <w:szCs w:val="21"/>
                <w:lang w:val="en-US" w:eastAsia="zh-CN"/>
              </w:rPr>
              <w:t>台式电脑</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22B949">
            <w:pPr>
              <w:widowControl/>
              <w:jc w:val="center"/>
              <w:textAlignment w:val="baseline"/>
              <w:rPr>
                <w:rFonts w:hint="default" w:cs="宋体"/>
                <w:spacing w:val="-1"/>
                <w:kern w:val="2"/>
                <w:sz w:val="21"/>
                <w:szCs w:val="21"/>
                <w:lang w:val="en-US" w:eastAsia="zh-CN" w:bidi="ar-SA"/>
              </w:rPr>
            </w:pPr>
            <w:r>
              <w:rPr>
                <w:rFonts w:hint="default" w:cs="宋体"/>
                <w:spacing w:val="-2"/>
                <w:sz w:val="21"/>
                <w:szCs w:val="21"/>
                <w:lang w:val="en-US" w:eastAsia="zh-CN"/>
              </w:rPr>
              <w:t>品牌联想，含键盘、鼠标等</w:t>
            </w:r>
          </w:p>
        </w:tc>
        <w:tc>
          <w:tcPr>
            <w:tcW w:w="107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61DB53">
            <w:pPr>
              <w:widowControl/>
              <w:jc w:val="center"/>
              <w:textAlignment w:val="baseline"/>
              <w:rPr>
                <w:rFonts w:hint="default" w:cs="宋体"/>
                <w:spacing w:val="-1"/>
                <w:kern w:val="2"/>
                <w:sz w:val="21"/>
                <w:szCs w:val="21"/>
                <w:lang w:val="en-US" w:eastAsia="zh-CN" w:bidi="ar-SA"/>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FF6518">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每工位1台</w:t>
            </w:r>
          </w:p>
        </w:tc>
      </w:tr>
      <w:tr w14:paraId="5F046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626" w:hRule="atLeast"/>
          <w:jc w:val="center"/>
        </w:trPr>
        <w:tc>
          <w:tcPr>
            <w:tcW w:w="87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6580507F">
            <w:pPr>
              <w:widowControl/>
              <w:jc w:val="center"/>
              <w:textAlignment w:val="baseline"/>
              <w:rPr>
                <w:rFonts w:hint="default" w:cs="宋体"/>
                <w:sz w:val="21"/>
                <w:szCs w:val="21"/>
                <w:lang w:val="en-US" w:eastAsia="zh-CN"/>
              </w:rPr>
            </w:pPr>
            <w:r>
              <w:rPr>
                <w:rFonts w:hint="default" w:cs="宋体"/>
                <w:sz w:val="21"/>
                <w:szCs w:val="21"/>
                <w:lang w:val="en-US" w:eastAsia="zh-CN"/>
              </w:rPr>
              <w:t>3</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750E37D4">
            <w:pPr>
              <w:pStyle w:val="18"/>
              <w:widowControl/>
              <w:jc w:val="center"/>
              <w:textAlignment w:val="baseline"/>
              <w:rPr>
                <w:rFonts w:hint="default" w:ascii="宋体" w:hAnsi="宋体" w:cs="宋体"/>
                <w:kern w:val="2"/>
                <w:sz w:val="21"/>
                <w:szCs w:val="21"/>
              </w:rPr>
            </w:pPr>
          </w:p>
        </w:tc>
        <w:tc>
          <w:tcPr>
            <w:tcW w:w="164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364EEB2A">
            <w:pPr>
              <w:widowControl/>
              <w:jc w:val="center"/>
              <w:textAlignment w:val="baseline"/>
              <w:rPr>
                <w:rFonts w:hint="default" w:cs="宋体"/>
                <w:spacing w:val="-1"/>
                <w:kern w:val="2"/>
                <w:sz w:val="21"/>
                <w:szCs w:val="21"/>
                <w:lang w:val="en-US" w:eastAsia="zh-CN" w:bidi="ar-SA"/>
              </w:rPr>
            </w:pPr>
            <w:r>
              <w:rPr>
                <w:rFonts w:hint="default" w:cs="宋体"/>
                <w:spacing w:val="-1"/>
                <w:sz w:val="21"/>
                <w:szCs w:val="21"/>
                <w:lang w:val="en-US" w:eastAsia="zh-CN"/>
              </w:rPr>
              <w:t>PLC模块</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90F1E8">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三菱Fx系列PLC,型号：</w:t>
            </w:r>
          </w:p>
          <w:p w14:paraId="4A0E9C07">
            <w:pPr>
              <w:widowControl/>
              <w:jc w:val="center"/>
              <w:textAlignment w:val="baseline"/>
              <w:rPr>
                <w:rFonts w:hint="default" w:cs="宋体"/>
                <w:spacing w:val="-1"/>
                <w:kern w:val="2"/>
                <w:sz w:val="21"/>
                <w:szCs w:val="21"/>
                <w:lang w:val="en-US" w:eastAsia="zh-CN" w:bidi="ar-SA"/>
              </w:rPr>
            </w:pPr>
            <w:r>
              <w:rPr>
                <w:rFonts w:hint="default" w:cs="宋体"/>
                <w:spacing w:val="-2"/>
                <w:sz w:val="21"/>
                <w:szCs w:val="21"/>
                <w:lang w:val="en-US" w:eastAsia="zh-CN"/>
              </w:rPr>
              <w:t>Fx3U-48MR</w:t>
            </w:r>
          </w:p>
        </w:tc>
        <w:tc>
          <w:tcPr>
            <w:tcW w:w="107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14:paraId="17E6C639">
            <w:pPr>
              <w:widowControl/>
              <w:jc w:val="center"/>
              <w:textAlignment w:val="baseline"/>
              <w:rPr>
                <w:rFonts w:hint="default" w:cs="宋体"/>
                <w:spacing w:val="-1"/>
                <w:kern w:val="2"/>
                <w:sz w:val="21"/>
                <w:szCs w:val="21"/>
                <w:lang w:val="en-US" w:eastAsia="zh-CN" w:bidi="ar-SA"/>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886D0E">
            <w:pPr>
              <w:widowControl/>
              <w:jc w:val="center"/>
              <w:textAlignment w:val="baseline"/>
              <w:rPr>
                <w:rFonts w:hint="default" w:cs="宋体"/>
                <w:sz w:val="21"/>
                <w:szCs w:val="21"/>
              </w:rPr>
            </w:pPr>
            <w:r>
              <w:rPr>
                <w:rFonts w:hint="default" w:cs="宋体"/>
                <w:sz w:val="21"/>
                <w:szCs w:val="21"/>
                <w:lang w:val="en-US" w:eastAsia="zh-CN"/>
              </w:rPr>
              <w:t>每工位1台</w:t>
            </w:r>
          </w:p>
        </w:tc>
      </w:tr>
      <w:tr w14:paraId="4833A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626" w:hRule="atLeast"/>
          <w:jc w:val="center"/>
        </w:trPr>
        <w:tc>
          <w:tcPr>
            <w:tcW w:w="87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3CC26516">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4</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794C9BE3">
            <w:pPr>
              <w:pStyle w:val="18"/>
              <w:widowControl/>
              <w:jc w:val="center"/>
              <w:textAlignment w:val="baseline"/>
              <w:rPr>
                <w:rFonts w:hint="default" w:ascii="宋体" w:hAnsi="宋体" w:cs="宋体"/>
                <w:kern w:val="2"/>
                <w:sz w:val="21"/>
                <w:szCs w:val="21"/>
              </w:rPr>
            </w:pPr>
          </w:p>
        </w:tc>
        <w:tc>
          <w:tcPr>
            <w:tcW w:w="164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4B1151D2">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变频器模块</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8564C4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三菱系列变频器，型号E700</w:t>
            </w:r>
          </w:p>
        </w:tc>
        <w:tc>
          <w:tcPr>
            <w:tcW w:w="107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8E0825">
            <w:pPr>
              <w:widowControl/>
              <w:jc w:val="center"/>
              <w:textAlignment w:val="baseline"/>
              <w:rPr>
                <w:rFonts w:hint="default" w:cs="宋体"/>
                <w:spacing w:val="-1"/>
                <w:kern w:val="2"/>
                <w:sz w:val="21"/>
                <w:szCs w:val="21"/>
                <w:lang w:val="en-US" w:eastAsia="zh-CN" w:bidi="ar-SA"/>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BF59D2">
            <w:pPr>
              <w:widowControl/>
              <w:jc w:val="center"/>
              <w:textAlignment w:val="baseline"/>
              <w:rPr>
                <w:rFonts w:hint="default" w:cs="宋体"/>
                <w:sz w:val="21"/>
                <w:szCs w:val="21"/>
              </w:rPr>
            </w:pPr>
            <w:r>
              <w:rPr>
                <w:rFonts w:hint="default" w:cs="宋体"/>
                <w:sz w:val="21"/>
                <w:szCs w:val="21"/>
                <w:lang w:val="en-US" w:eastAsia="zh-CN"/>
              </w:rPr>
              <w:t>每工位1台</w:t>
            </w:r>
          </w:p>
        </w:tc>
      </w:tr>
      <w:tr w14:paraId="2B250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626" w:hRule="atLeast"/>
          <w:jc w:val="center"/>
        </w:trPr>
        <w:tc>
          <w:tcPr>
            <w:tcW w:w="87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2C62088F">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5</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1805F136">
            <w:pPr>
              <w:pStyle w:val="18"/>
              <w:widowControl/>
              <w:jc w:val="center"/>
              <w:textAlignment w:val="baseline"/>
              <w:rPr>
                <w:rFonts w:hint="default" w:ascii="宋体" w:hAnsi="宋体" w:cs="宋体"/>
                <w:kern w:val="2"/>
                <w:sz w:val="21"/>
                <w:szCs w:val="21"/>
              </w:rPr>
            </w:pPr>
          </w:p>
        </w:tc>
        <w:tc>
          <w:tcPr>
            <w:tcW w:w="164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7E324527">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触摸屏模块</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99364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MCGS触摸屏,型号：TPC7062TX(KX)</w:t>
            </w:r>
          </w:p>
        </w:tc>
        <w:tc>
          <w:tcPr>
            <w:tcW w:w="107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C194CC">
            <w:pPr>
              <w:widowControl/>
              <w:jc w:val="center"/>
              <w:textAlignment w:val="baseline"/>
              <w:rPr>
                <w:rFonts w:hint="default" w:cs="宋体"/>
                <w:spacing w:val="-1"/>
                <w:kern w:val="2"/>
                <w:sz w:val="21"/>
                <w:szCs w:val="21"/>
                <w:lang w:val="en-US" w:eastAsia="zh-CN" w:bidi="ar-SA"/>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C6CD02">
            <w:pPr>
              <w:widowControl/>
              <w:jc w:val="center"/>
              <w:textAlignment w:val="baseline"/>
              <w:rPr>
                <w:rFonts w:hint="default" w:cs="宋体"/>
                <w:sz w:val="21"/>
                <w:szCs w:val="21"/>
              </w:rPr>
            </w:pPr>
            <w:r>
              <w:rPr>
                <w:rFonts w:hint="default" w:cs="宋体"/>
                <w:sz w:val="21"/>
                <w:szCs w:val="21"/>
                <w:lang w:val="en-US" w:eastAsia="zh-CN"/>
              </w:rPr>
              <w:t>每工位1台</w:t>
            </w:r>
          </w:p>
        </w:tc>
      </w:tr>
      <w:tr w14:paraId="3819B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626" w:hRule="atLeast"/>
          <w:jc w:val="center"/>
        </w:trPr>
        <w:tc>
          <w:tcPr>
            <w:tcW w:w="87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6E520998">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6</w:t>
            </w:r>
          </w:p>
        </w:tc>
        <w:tc>
          <w:tcPr>
            <w:tcW w:w="1361" w:type="dxa"/>
            <w:vMerge w:val="continue"/>
            <w:tcBorders>
              <w:top w:val="single" w:color="000000" w:sz="4" w:space="0"/>
              <w:left w:val="single" w:color="auto" w:sz="4" w:space="0"/>
              <w:bottom w:val="single" w:color="auto" w:sz="4" w:space="0"/>
              <w:right w:val="single" w:color="auto" w:sz="4" w:space="0"/>
              <w:tl2br w:val="nil"/>
              <w:tr2bl w:val="nil"/>
            </w:tcBorders>
            <w:noWrap w:val="0"/>
            <w:vAlign w:val="center"/>
          </w:tcPr>
          <w:p w14:paraId="26ED19B4">
            <w:pPr>
              <w:pStyle w:val="18"/>
              <w:widowControl/>
              <w:jc w:val="center"/>
              <w:textAlignment w:val="baseline"/>
              <w:rPr>
                <w:rFonts w:hint="default" w:ascii="宋体" w:hAnsi="宋体" w:cs="宋体"/>
                <w:kern w:val="2"/>
                <w:sz w:val="21"/>
                <w:szCs w:val="21"/>
              </w:rPr>
            </w:pPr>
          </w:p>
        </w:tc>
        <w:tc>
          <w:tcPr>
            <w:tcW w:w="1644" w:type="dxa"/>
            <w:tcBorders>
              <w:top w:val="single" w:color="000000" w:sz="4" w:space="0"/>
              <w:left w:val="single" w:color="000000" w:sz="4" w:space="0"/>
              <w:bottom w:val="single" w:color="auto" w:sz="4" w:space="0"/>
              <w:right w:val="single" w:color="000000" w:sz="4" w:space="0"/>
              <w:tl2br w:val="nil"/>
              <w:tr2bl w:val="nil"/>
            </w:tcBorders>
            <w:noWrap w:val="0"/>
            <w:vAlign w:val="center"/>
          </w:tcPr>
          <w:p w14:paraId="081C7FD7">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板凳</w:t>
            </w:r>
          </w:p>
        </w:tc>
        <w:tc>
          <w:tcPr>
            <w:tcW w:w="27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78E12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配合编程电脑使用</w:t>
            </w:r>
          </w:p>
        </w:tc>
        <w:tc>
          <w:tcPr>
            <w:tcW w:w="107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14:paraId="3B9A01DA">
            <w:pPr>
              <w:widowControl/>
              <w:jc w:val="center"/>
              <w:textAlignment w:val="baseline"/>
              <w:rPr>
                <w:rFonts w:hint="default" w:cs="宋体"/>
                <w:spacing w:val="-1"/>
                <w:kern w:val="2"/>
                <w:sz w:val="21"/>
                <w:szCs w:val="21"/>
                <w:lang w:val="en-US" w:eastAsia="zh-CN" w:bidi="ar-SA"/>
              </w:rPr>
            </w:pP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3758DE">
            <w:pPr>
              <w:widowControl/>
              <w:jc w:val="center"/>
              <w:textAlignment w:val="baseline"/>
              <w:rPr>
                <w:rFonts w:hint="default" w:cs="宋体"/>
                <w:sz w:val="21"/>
                <w:szCs w:val="21"/>
              </w:rPr>
            </w:pPr>
            <w:r>
              <w:rPr>
                <w:rFonts w:hint="default" w:cs="宋体"/>
                <w:sz w:val="21"/>
                <w:szCs w:val="21"/>
                <w:lang w:val="en-US" w:eastAsia="zh-CN"/>
              </w:rPr>
              <w:t>每工位1台</w:t>
            </w:r>
          </w:p>
        </w:tc>
      </w:tr>
      <w:tr w14:paraId="7D9B0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26BA86">
            <w:pPr>
              <w:widowControl/>
              <w:jc w:val="center"/>
              <w:textAlignment w:val="baseline"/>
              <w:rPr>
                <w:rFonts w:hint="default" w:cs="宋体"/>
                <w:sz w:val="21"/>
                <w:szCs w:val="21"/>
                <w:lang w:val="en-US" w:eastAsia="zh-CN"/>
              </w:rPr>
            </w:pPr>
            <w:r>
              <w:rPr>
                <w:rFonts w:hint="default" w:cs="宋体"/>
                <w:sz w:val="21"/>
                <w:szCs w:val="21"/>
                <w:lang w:val="en-US" w:eastAsia="zh-CN"/>
              </w:rPr>
              <w:t>7</w:t>
            </w:r>
          </w:p>
        </w:tc>
        <w:tc>
          <w:tcPr>
            <w:tcW w:w="1361" w:type="dxa"/>
            <w:vMerge w:val="restart"/>
            <w:tcBorders>
              <w:top w:val="single" w:color="auto" w:sz="4" w:space="0"/>
              <w:left w:val="single" w:color="auto" w:sz="4" w:space="0"/>
              <w:bottom w:val="single" w:color="000000" w:sz="4" w:space="0"/>
              <w:right w:val="single" w:color="auto" w:sz="4" w:space="0"/>
              <w:tl2br w:val="nil"/>
              <w:tr2bl w:val="nil"/>
            </w:tcBorders>
            <w:noWrap w:val="0"/>
            <w:vAlign w:val="center"/>
          </w:tcPr>
          <w:p w14:paraId="070B7FA4">
            <w:pPr>
              <w:widowControl/>
              <w:jc w:val="center"/>
              <w:textAlignment w:val="baseline"/>
              <w:rPr>
                <w:rFonts w:hint="default" w:cs="宋体"/>
                <w:spacing w:val="1"/>
                <w:sz w:val="21"/>
                <w:szCs w:val="21"/>
              </w:rPr>
            </w:pPr>
          </w:p>
          <w:p w14:paraId="64A7EAA0">
            <w:pPr>
              <w:widowControl/>
              <w:jc w:val="center"/>
              <w:textAlignment w:val="baseline"/>
              <w:rPr>
                <w:rFonts w:hint="default" w:cs="宋体"/>
                <w:spacing w:val="1"/>
                <w:sz w:val="21"/>
                <w:szCs w:val="21"/>
              </w:rPr>
            </w:pPr>
            <w:r>
              <w:rPr>
                <w:rFonts w:hint="default" w:cs="宋体"/>
                <w:spacing w:val="1"/>
                <w:sz w:val="21"/>
                <w:szCs w:val="21"/>
              </w:rPr>
              <w:t>公共通用类</w:t>
            </w:r>
          </w:p>
          <w:p w14:paraId="7BE8FE67">
            <w:pPr>
              <w:pStyle w:val="18"/>
              <w:widowControl/>
              <w:jc w:val="center"/>
              <w:textAlignment w:val="baseline"/>
              <w:rPr>
                <w:rFonts w:hint="default" w:ascii="宋体" w:hAnsi="宋体" w:cs="宋体"/>
                <w:kern w:val="2"/>
                <w:sz w:val="21"/>
                <w:szCs w:val="21"/>
                <w:lang w:eastAsia="zh-CN"/>
              </w:rPr>
            </w:pPr>
            <w:r>
              <w:rPr>
                <w:rFonts w:hint="default" w:ascii="宋体" w:hAnsi="宋体" w:cs="宋体"/>
                <w:spacing w:val="-1"/>
                <w:sz w:val="21"/>
                <w:szCs w:val="21"/>
                <w:lang w:eastAsia="zh-CN"/>
              </w:rPr>
              <w:t>物品</w:t>
            </w: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2BBC51">
            <w:pPr>
              <w:widowControl/>
              <w:jc w:val="center"/>
              <w:textAlignment w:val="baseline"/>
              <w:rPr>
                <w:rFonts w:hint="default" w:cs="宋体"/>
                <w:spacing w:val="-1"/>
                <w:sz w:val="21"/>
                <w:szCs w:val="21"/>
                <w:lang w:eastAsia="zh-CN"/>
              </w:rPr>
            </w:pPr>
            <w:r>
              <w:rPr>
                <w:rFonts w:hint="default" w:cs="宋体"/>
                <w:spacing w:val="-1"/>
                <w:sz w:val="21"/>
                <w:szCs w:val="21"/>
              </w:rPr>
              <w:t>储物</w:t>
            </w:r>
            <w:r>
              <w:rPr>
                <w:rFonts w:hint="default" w:cs="宋体"/>
                <w:spacing w:val="-1"/>
                <w:sz w:val="21"/>
                <w:szCs w:val="21"/>
                <w:lang w:val="en-US" w:eastAsia="zh-CN"/>
              </w:rPr>
              <w:t>箱子</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0D8F82EE">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中大号塑料储物箱，用于存放选手个人物品</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A11605">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选手</w:t>
            </w:r>
          </w:p>
          <w:p w14:paraId="0E750D20">
            <w:pPr>
              <w:widowControl/>
              <w:jc w:val="center"/>
              <w:textAlignment w:val="baseline"/>
              <w:rPr>
                <w:rFonts w:hint="default" w:cs="宋体"/>
                <w:spacing w:val="-1"/>
                <w:sz w:val="21"/>
                <w:szCs w:val="21"/>
              </w:rPr>
            </w:pPr>
            <w:r>
              <w:rPr>
                <w:rFonts w:hint="default" w:cs="宋体"/>
                <w:spacing w:val="-1"/>
                <w:sz w:val="21"/>
                <w:szCs w:val="21"/>
                <w:lang w:val="en-US" w:eastAsia="zh-CN"/>
              </w:rPr>
              <w:t>侯赛</w:t>
            </w:r>
            <w:r>
              <w:rPr>
                <w:rFonts w:hint="default" w:cs="宋体"/>
                <w:spacing w:val="-1"/>
                <w:sz w:val="21"/>
                <w:szCs w:val="21"/>
              </w:rPr>
              <w:t>区</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326EC9">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1个</w:t>
            </w:r>
          </w:p>
        </w:tc>
      </w:tr>
      <w:tr w14:paraId="7549C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3A22E7">
            <w:pPr>
              <w:widowControl/>
              <w:jc w:val="center"/>
              <w:textAlignment w:val="baseline"/>
              <w:rPr>
                <w:rFonts w:hint="default" w:cs="宋体"/>
                <w:sz w:val="21"/>
                <w:szCs w:val="21"/>
                <w:lang w:val="en-US" w:eastAsia="zh-CN"/>
              </w:rPr>
            </w:pPr>
            <w:r>
              <w:rPr>
                <w:rFonts w:hint="default" w:cs="宋体"/>
                <w:sz w:val="21"/>
                <w:szCs w:val="21"/>
                <w:lang w:val="en-US" w:eastAsia="zh-CN"/>
              </w:rPr>
              <w:t>8</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6E1ED1AF">
            <w:pPr>
              <w:pStyle w:val="18"/>
              <w:widowControl/>
              <w:jc w:val="center"/>
              <w:textAlignment w:val="baseline"/>
              <w:rPr>
                <w:rFonts w:hint="default" w:ascii="宋体" w:hAnsi="宋体" w:cs="宋体"/>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B774C">
            <w:pPr>
              <w:widowControl/>
              <w:jc w:val="center"/>
              <w:textAlignment w:val="baseline"/>
              <w:rPr>
                <w:rFonts w:hint="default" w:cs="宋体"/>
                <w:spacing w:val="-1"/>
                <w:sz w:val="21"/>
                <w:szCs w:val="21"/>
              </w:rPr>
            </w:pPr>
            <w:r>
              <w:rPr>
                <w:rFonts w:hint="default" w:cs="宋体"/>
                <w:spacing w:val="-1"/>
                <w:sz w:val="21"/>
                <w:szCs w:val="21"/>
              </w:rPr>
              <w:t>饮水机</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5D6E6F21">
            <w:pPr>
              <w:widowControl/>
              <w:jc w:val="center"/>
              <w:textAlignment w:val="baseline"/>
              <w:rPr>
                <w:rFonts w:hint="default" w:cs="宋体"/>
                <w:spacing w:val="-1"/>
                <w:sz w:val="21"/>
                <w:szCs w:val="21"/>
              </w:rPr>
            </w:pPr>
            <w:r>
              <w:rPr>
                <w:rFonts w:hint="default" w:cs="宋体"/>
                <w:spacing w:val="-1"/>
                <w:sz w:val="21"/>
                <w:szCs w:val="21"/>
              </w:rPr>
              <w:t>冷热水、18L桶、立式</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737D6F">
            <w:pPr>
              <w:widowControl/>
              <w:jc w:val="center"/>
              <w:textAlignment w:val="baseline"/>
              <w:rPr>
                <w:rFonts w:hint="default" w:cs="宋体"/>
                <w:spacing w:val="-1"/>
                <w:sz w:val="21"/>
                <w:szCs w:val="21"/>
              </w:rPr>
            </w:pPr>
            <w:r>
              <w:rPr>
                <w:rFonts w:hint="default" w:cs="宋体"/>
                <w:spacing w:val="-1"/>
                <w:sz w:val="21"/>
                <w:szCs w:val="21"/>
              </w:rPr>
              <w:t>裁判</w:t>
            </w:r>
          </w:p>
          <w:p w14:paraId="379D4704">
            <w:pPr>
              <w:widowControl/>
              <w:jc w:val="center"/>
              <w:textAlignment w:val="baseline"/>
              <w:rPr>
                <w:rFonts w:hint="default" w:cs="宋体"/>
                <w:spacing w:val="-1"/>
                <w:sz w:val="21"/>
                <w:szCs w:val="21"/>
              </w:rPr>
            </w:pPr>
            <w:r>
              <w:rPr>
                <w:rFonts w:hint="default" w:cs="宋体"/>
                <w:spacing w:val="-1"/>
                <w:sz w:val="21"/>
                <w:szCs w:val="21"/>
              </w:rPr>
              <w:t>办公区</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6BA2E1">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1个</w:t>
            </w:r>
          </w:p>
        </w:tc>
      </w:tr>
      <w:tr w14:paraId="0F97F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274D1">
            <w:pPr>
              <w:widowControl/>
              <w:jc w:val="center"/>
              <w:textAlignment w:val="baseline"/>
              <w:rPr>
                <w:rFonts w:hint="default" w:cs="宋体"/>
                <w:sz w:val="21"/>
                <w:szCs w:val="21"/>
                <w:lang w:val="en-US" w:eastAsia="zh-CN"/>
              </w:rPr>
            </w:pPr>
            <w:r>
              <w:rPr>
                <w:rFonts w:hint="default" w:cs="宋体"/>
                <w:sz w:val="21"/>
                <w:szCs w:val="21"/>
                <w:lang w:val="en-US" w:eastAsia="zh-CN"/>
              </w:rPr>
              <w:t>9</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568B20F5">
            <w:pPr>
              <w:pStyle w:val="18"/>
              <w:widowControl/>
              <w:jc w:val="center"/>
              <w:textAlignment w:val="baseline"/>
              <w:rPr>
                <w:rFonts w:hint="default" w:ascii="宋体" w:hAnsi="宋体" w:cs="宋体"/>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856D6A">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牛皮纸信封</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3BA3668B">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选手保存手机、身份证等物品</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D28F655">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选手</w:t>
            </w:r>
          </w:p>
          <w:p w14:paraId="6D3B5BB8">
            <w:pPr>
              <w:widowControl/>
              <w:jc w:val="center"/>
              <w:textAlignment w:val="baseline"/>
              <w:rPr>
                <w:rFonts w:hint="default" w:cs="宋体"/>
                <w:spacing w:val="-1"/>
                <w:sz w:val="21"/>
                <w:szCs w:val="21"/>
              </w:rPr>
            </w:pPr>
            <w:r>
              <w:rPr>
                <w:rFonts w:hint="default" w:cs="宋体"/>
                <w:spacing w:val="-1"/>
                <w:sz w:val="21"/>
                <w:szCs w:val="21"/>
                <w:lang w:val="en-US" w:eastAsia="zh-CN"/>
              </w:rPr>
              <w:t>侯赛</w:t>
            </w:r>
            <w:r>
              <w:rPr>
                <w:rFonts w:hint="default" w:cs="宋体"/>
                <w:spacing w:val="-1"/>
                <w:sz w:val="21"/>
                <w:szCs w:val="21"/>
              </w:rPr>
              <w:t>区</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888405">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40个</w:t>
            </w:r>
          </w:p>
        </w:tc>
      </w:tr>
      <w:tr w14:paraId="5F8E8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619"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1A7CE2">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10</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68107C81">
            <w:pPr>
              <w:pStyle w:val="18"/>
              <w:widowControl/>
              <w:jc w:val="center"/>
              <w:textAlignment w:val="baseline"/>
              <w:rPr>
                <w:rFonts w:hint="default" w:ascii="宋体" w:hAnsi="宋体" w:cs="宋体"/>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ED395">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A4纸</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4E1D4BAE">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赛场稿纸</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E7A0F4">
            <w:pPr>
              <w:widowControl/>
              <w:jc w:val="center"/>
              <w:textAlignment w:val="baseline"/>
              <w:rPr>
                <w:rFonts w:hint="default" w:cs="宋体"/>
                <w:spacing w:val="-1"/>
                <w:sz w:val="21"/>
                <w:szCs w:val="21"/>
                <w:lang w:val="en-US" w:eastAsia="zh-CN"/>
              </w:rPr>
            </w:pPr>
            <w:r>
              <w:rPr>
                <w:rFonts w:hint="default" w:cs="宋体"/>
                <w:spacing w:val="-1"/>
                <w:sz w:val="21"/>
                <w:szCs w:val="21"/>
              </w:rPr>
              <w:t>裁判</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345165">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2包</w:t>
            </w:r>
          </w:p>
        </w:tc>
      </w:tr>
      <w:tr w14:paraId="0A6C3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B451D6">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11</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4A5260ED">
            <w:pPr>
              <w:pStyle w:val="18"/>
              <w:widowControl/>
              <w:jc w:val="center"/>
              <w:textAlignment w:val="baseline"/>
              <w:rPr>
                <w:rFonts w:hint="default" w:ascii="宋体" w:hAnsi="宋体" w:cs="宋体"/>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B92C3">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夹板</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2784E583">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裁判评分使用</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E507147">
            <w:pPr>
              <w:widowControl/>
              <w:jc w:val="center"/>
              <w:textAlignment w:val="baseline"/>
              <w:rPr>
                <w:rFonts w:hint="default" w:cs="宋体"/>
                <w:spacing w:val="-1"/>
                <w:sz w:val="21"/>
                <w:szCs w:val="21"/>
                <w:lang w:val="en-US" w:eastAsia="zh-CN"/>
              </w:rPr>
            </w:pPr>
            <w:r>
              <w:rPr>
                <w:rFonts w:hint="default" w:cs="宋体"/>
                <w:spacing w:val="-1"/>
                <w:sz w:val="21"/>
                <w:szCs w:val="21"/>
              </w:rPr>
              <w:t>办公区</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F07364A">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6个</w:t>
            </w:r>
          </w:p>
        </w:tc>
      </w:tr>
      <w:tr w14:paraId="35588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A0DF0C">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12</w:t>
            </w:r>
          </w:p>
        </w:tc>
        <w:tc>
          <w:tcPr>
            <w:tcW w:w="1361" w:type="dxa"/>
            <w:vMerge w:val="continue"/>
            <w:tcBorders>
              <w:top w:val="single" w:color="000000" w:sz="4" w:space="0"/>
              <w:left w:val="single" w:color="auto" w:sz="4" w:space="0"/>
              <w:bottom w:val="single" w:color="000000" w:sz="4" w:space="0"/>
              <w:right w:val="single" w:color="auto" w:sz="4" w:space="0"/>
              <w:tl2br w:val="nil"/>
              <w:tr2bl w:val="nil"/>
            </w:tcBorders>
            <w:noWrap w:val="0"/>
            <w:vAlign w:val="center"/>
          </w:tcPr>
          <w:p w14:paraId="6FC1C871">
            <w:pPr>
              <w:pStyle w:val="18"/>
              <w:widowControl/>
              <w:jc w:val="center"/>
              <w:textAlignment w:val="baseline"/>
              <w:rPr>
                <w:rFonts w:hint="default" w:ascii="宋体" w:hAnsi="宋体" w:cs="宋体"/>
                <w:kern w:val="2"/>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BF458C">
            <w:pPr>
              <w:widowControl/>
              <w:jc w:val="center"/>
              <w:textAlignment w:val="baseline"/>
              <w:rPr>
                <w:rFonts w:hint="default" w:cs="宋体"/>
                <w:spacing w:val="-1"/>
                <w:kern w:val="2"/>
                <w:sz w:val="21"/>
                <w:szCs w:val="21"/>
                <w:lang w:val="en-US" w:eastAsia="zh-CN" w:bidi="ar-SA"/>
              </w:rPr>
            </w:pPr>
            <w:r>
              <w:rPr>
                <w:rFonts w:hint="default" w:cs="宋体"/>
                <w:spacing w:val="-1"/>
                <w:kern w:val="2"/>
                <w:sz w:val="21"/>
                <w:szCs w:val="21"/>
                <w:lang w:val="en-US" w:eastAsia="zh-CN" w:bidi="ar-SA"/>
              </w:rPr>
              <w:t>订书机</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151651E8">
            <w:pPr>
              <w:widowControl/>
              <w:jc w:val="center"/>
              <w:textAlignment w:val="baseline"/>
              <w:rPr>
                <w:rFonts w:hint="default" w:cs="宋体"/>
                <w:spacing w:val="-1"/>
                <w:kern w:val="2"/>
                <w:sz w:val="21"/>
                <w:szCs w:val="21"/>
                <w:lang w:val="en-US" w:eastAsia="zh-CN" w:bidi="ar-SA"/>
              </w:rPr>
            </w:pPr>
            <w:r>
              <w:rPr>
                <w:rFonts w:hint="default" w:cs="宋体"/>
                <w:spacing w:val="-1"/>
                <w:sz w:val="21"/>
                <w:szCs w:val="21"/>
                <w:lang w:val="en-US" w:eastAsia="zh-CN"/>
              </w:rPr>
              <w:t>装订赛场评分表</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252F1A">
            <w:pPr>
              <w:widowControl/>
              <w:jc w:val="center"/>
              <w:textAlignment w:val="baseline"/>
              <w:rPr>
                <w:rFonts w:hint="default" w:cs="宋体"/>
                <w:spacing w:val="-1"/>
                <w:sz w:val="21"/>
                <w:szCs w:val="21"/>
              </w:rPr>
            </w:pPr>
            <w:r>
              <w:rPr>
                <w:rFonts w:hint="default" w:cs="宋体"/>
                <w:spacing w:val="-1"/>
                <w:sz w:val="21"/>
                <w:szCs w:val="21"/>
              </w:rPr>
              <w:t>裁判</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251C47">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1个</w:t>
            </w:r>
          </w:p>
        </w:tc>
      </w:tr>
      <w:tr w14:paraId="6D348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20259C">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13</w:t>
            </w:r>
          </w:p>
        </w:tc>
        <w:tc>
          <w:tcPr>
            <w:tcW w:w="1361" w:type="dxa"/>
            <w:vMerge w:val="continue"/>
            <w:tcBorders>
              <w:top w:val="single" w:color="000000" w:sz="4" w:space="0"/>
              <w:left w:val="single" w:color="auto" w:sz="4" w:space="0"/>
              <w:bottom w:val="single" w:color="auto" w:sz="4" w:space="0"/>
              <w:right w:val="single" w:color="auto" w:sz="4" w:space="0"/>
              <w:tl2br w:val="nil"/>
              <w:tr2bl w:val="nil"/>
            </w:tcBorders>
            <w:noWrap w:val="0"/>
            <w:vAlign w:val="center"/>
          </w:tcPr>
          <w:p w14:paraId="7DDDD788">
            <w:pPr>
              <w:pStyle w:val="18"/>
              <w:widowControl/>
              <w:jc w:val="center"/>
              <w:textAlignment w:val="baseline"/>
              <w:rPr>
                <w:rFonts w:hint="default" w:ascii="宋体" w:hAnsi="宋体" w:cs="宋体"/>
                <w:spacing w:val="-1"/>
                <w:sz w:val="21"/>
                <w:szCs w:val="21"/>
              </w:rPr>
            </w:pPr>
          </w:p>
        </w:tc>
        <w:tc>
          <w:tcPr>
            <w:tcW w:w="16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AD7836">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红、黑签字笔、铅笔、橡皮等</w:t>
            </w:r>
          </w:p>
        </w:tc>
        <w:tc>
          <w:tcPr>
            <w:tcW w:w="2777" w:type="dxa"/>
            <w:tcBorders>
              <w:top w:val="single" w:color="000000" w:sz="4" w:space="0"/>
              <w:left w:val="single" w:color="auto" w:sz="4" w:space="0"/>
              <w:bottom w:val="single" w:color="000000" w:sz="4" w:space="0"/>
              <w:right w:val="single" w:color="000000" w:sz="4" w:space="0"/>
              <w:tl2br w:val="nil"/>
              <w:tr2bl w:val="nil"/>
            </w:tcBorders>
            <w:noWrap w:val="0"/>
            <w:vAlign w:val="center"/>
          </w:tcPr>
          <w:p w14:paraId="0BD70655">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评分、登分使用</w:t>
            </w:r>
          </w:p>
        </w:tc>
        <w:tc>
          <w:tcPr>
            <w:tcW w:w="107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0D29F2">
            <w:pPr>
              <w:widowControl/>
              <w:jc w:val="center"/>
              <w:textAlignment w:val="baseline"/>
              <w:rPr>
                <w:rFonts w:hint="default" w:cs="宋体"/>
                <w:spacing w:val="-1"/>
                <w:sz w:val="21"/>
                <w:szCs w:val="21"/>
              </w:rPr>
            </w:pPr>
            <w:r>
              <w:rPr>
                <w:rFonts w:hint="default" w:cs="宋体"/>
                <w:spacing w:val="-1"/>
                <w:sz w:val="21"/>
                <w:szCs w:val="21"/>
              </w:rPr>
              <w:t>办公区</w:t>
            </w:r>
          </w:p>
        </w:tc>
        <w:tc>
          <w:tcPr>
            <w:tcW w:w="11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C82F01E">
            <w:pPr>
              <w:pStyle w:val="18"/>
              <w:widowControl/>
              <w:jc w:val="center"/>
              <w:textAlignment w:val="baseline"/>
              <w:rPr>
                <w:rFonts w:hint="default" w:ascii="宋体" w:hAnsi="宋体" w:cs="宋体"/>
                <w:sz w:val="21"/>
                <w:szCs w:val="21"/>
                <w:lang w:eastAsia="zh-CN"/>
              </w:rPr>
            </w:pPr>
            <w:r>
              <w:rPr>
                <w:rFonts w:hint="default" w:ascii="宋体" w:hAnsi="宋体" w:cs="宋体"/>
                <w:sz w:val="21"/>
                <w:szCs w:val="21"/>
                <w:lang w:eastAsia="zh-CN"/>
              </w:rPr>
              <w:t>若干</w:t>
            </w:r>
          </w:p>
        </w:tc>
      </w:tr>
    </w:tbl>
    <w:p w14:paraId="4AA7FAC7">
      <w:pPr>
        <w:pStyle w:val="2"/>
        <w:spacing w:beforeLines="0" w:afterLines="0"/>
        <w:rPr>
          <w:rFonts w:hint="default" w:ascii="宋体" w:hAnsi="宋体"/>
          <w:b/>
          <w:spacing w:val="-6"/>
          <w:sz w:val="28"/>
          <w:szCs w:val="28"/>
        </w:rPr>
      </w:pPr>
    </w:p>
    <w:p w14:paraId="37F60759">
      <w:pPr>
        <w:pStyle w:val="5"/>
        <w:spacing w:before="0" w:after="0" w:line="240" w:lineRule="auto"/>
        <w:ind w:firstLine="422" w:firstLineChars="200"/>
        <w:rPr>
          <w:rFonts w:hint="default" w:cs="Times New Roman"/>
          <w:sz w:val="21"/>
          <w:szCs w:val="21"/>
          <w:lang w:val="en-US" w:eastAsia="zh-CN"/>
        </w:rPr>
      </w:pPr>
      <w:bookmarkStart w:id="86" w:name="_Toc8839"/>
      <w:r>
        <w:rPr>
          <w:rFonts w:hint="default" w:cs="Times New Roman"/>
          <w:sz w:val="21"/>
          <w:szCs w:val="21"/>
          <w:lang w:val="en-US" w:eastAsia="zh-CN"/>
        </w:rPr>
        <w:t>2.材料单</w:t>
      </w:r>
      <w:bookmarkEnd w:id="86"/>
    </w:p>
    <w:p w14:paraId="616FD1CD">
      <w:pPr>
        <w:widowControl/>
        <w:jc w:val="center"/>
        <w:textAlignment w:val="baseline"/>
        <w:rPr>
          <w:rFonts w:hint="default" w:cs="宋体"/>
          <w:sz w:val="21"/>
          <w:szCs w:val="21"/>
          <w:lang w:val="en-US" w:eastAsia="zh-CN"/>
        </w:rPr>
      </w:pPr>
      <w:bookmarkStart w:id="87" w:name="_Toc32759"/>
      <w:r>
        <w:rPr>
          <w:rFonts w:hint="default" w:cs="宋体"/>
          <w:sz w:val="21"/>
          <w:szCs w:val="21"/>
          <w:lang w:val="en-US" w:eastAsia="zh-CN"/>
        </w:rPr>
        <w:t>表6 机电一体化项目选手材料清单表</w:t>
      </w:r>
    </w:p>
    <w:p w14:paraId="1941A0AD">
      <w:pPr>
        <w:pStyle w:val="2"/>
        <w:spacing w:beforeLines="0" w:afterLines="0"/>
        <w:jc w:val="center"/>
        <w:rPr>
          <w:rFonts w:hint="default"/>
          <w:sz w:val="21"/>
          <w:szCs w:val="22"/>
        </w:rPr>
      </w:pPr>
    </w:p>
    <w:tbl>
      <w:tblPr>
        <w:tblStyle w:val="15"/>
        <w:tblW w:w="96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2237"/>
        <w:gridCol w:w="2225"/>
        <w:gridCol w:w="2163"/>
        <w:gridCol w:w="2163"/>
      </w:tblGrid>
      <w:tr w14:paraId="1A0D7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DDC018B">
            <w:pPr>
              <w:widowControl/>
              <w:jc w:val="center"/>
              <w:textAlignment w:val="baseline"/>
              <w:rPr>
                <w:rFonts w:hint="default" w:cs="宋体"/>
                <w:sz w:val="21"/>
                <w:szCs w:val="21"/>
              </w:rPr>
            </w:pPr>
            <w:r>
              <w:rPr>
                <w:rFonts w:hint="default" w:cs="宋体"/>
                <w:spacing w:val="-2"/>
                <w:sz w:val="21"/>
                <w:szCs w:val="21"/>
              </w:rPr>
              <w:t>序号</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A52D12">
            <w:pPr>
              <w:widowControl/>
              <w:jc w:val="center"/>
              <w:textAlignment w:val="baseline"/>
              <w:rPr>
                <w:rFonts w:hint="default" w:cs="宋体"/>
                <w:sz w:val="21"/>
                <w:szCs w:val="21"/>
              </w:rPr>
            </w:pPr>
            <w:r>
              <w:rPr>
                <w:rFonts w:hint="default" w:cs="宋体"/>
                <w:spacing w:val="5"/>
                <w:sz w:val="21"/>
                <w:szCs w:val="21"/>
              </w:rPr>
              <w:t>名称</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4DFC2E">
            <w:pPr>
              <w:widowControl/>
              <w:jc w:val="center"/>
              <w:textAlignment w:val="baseline"/>
              <w:rPr>
                <w:rFonts w:hint="default" w:cs="宋体"/>
                <w:sz w:val="21"/>
                <w:szCs w:val="21"/>
                <w:lang w:eastAsia="zh-CN"/>
              </w:rPr>
            </w:pPr>
            <w:r>
              <w:rPr>
                <w:rFonts w:hint="default" w:cs="宋体"/>
                <w:spacing w:val="-2"/>
                <w:sz w:val="21"/>
                <w:szCs w:val="21"/>
                <w:lang w:val="en-US" w:eastAsia="zh-CN"/>
              </w:rPr>
              <w:t>型号</w:t>
            </w:r>
            <w:r>
              <w:rPr>
                <w:rFonts w:hint="default" w:cs="宋体"/>
                <w:spacing w:val="-2"/>
                <w:sz w:val="21"/>
                <w:szCs w:val="21"/>
                <w:lang w:eastAsia="zh-CN"/>
              </w:rPr>
              <w:t>（</w:t>
            </w:r>
            <w:r>
              <w:rPr>
                <w:rFonts w:hint="default" w:cs="宋体"/>
                <w:spacing w:val="-2"/>
                <w:sz w:val="21"/>
                <w:szCs w:val="21"/>
                <w:lang w:val="en-US" w:eastAsia="zh-CN"/>
              </w:rPr>
              <w:t>规格</w:t>
            </w:r>
            <w:r>
              <w:rPr>
                <w:rFonts w:hint="default" w:cs="宋体"/>
                <w:spacing w:val="-2"/>
                <w:sz w:val="21"/>
                <w:szCs w:val="21"/>
                <w:lang w:eastAsia="zh-CN"/>
              </w:rPr>
              <w:t>）</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138822B">
            <w:pPr>
              <w:widowControl/>
              <w:jc w:val="center"/>
              <w:textAlignment w:val="baseline"/>
              <w:rPr>
                <w:rFonts w:hint="default" w:cs="宋体"/>
                <w:kern w:val="2"/>
                <w:sz w:val="21"/>
                <w:szCs w:val="21"/>
                <w:lang w:val="en-US" w:eastAsia="zh-CN" w:bidi="ar-SA"/>
              </w:rPr>
            </w:pPr>
            <w:r>
              <w:rPr>
                <w:rFonts w:hint="default" w:cs="宋体"/>
                <w:spacing w:val="-5"/>
                <w:sz w:val="21"/>
                <w:szCs w:val="21"/>
                <w:lang w:val="en-US" w:eastAsia="zh-CN"/>
              </w:rPr>
              <w:t>单位</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8C64BB">
            <w:pPr>
              <w:widowControl/>
              <w:jc w:val="center"/>
              <w:textAlignment w:val="baseline"/>
              <w:rPr>
                <w:rFonts w:hint="default" w:cs="宋体"/>
                <w:spacing w:val="-5"/>
                <w:sz w:val="21"/>
                <w:szCs w:val="21"/>
                <w:lang w:val="en-US" w:eastAsia="zh-CN"/>
              </w:rPr>
            </w:pPr>
            <w:r>
              <w:rPr>
                <w:rFonts w:hint="default" w:cs="宋体"/>
                <w:spacing w:val="-5"/>
                <w:sz w:val="21"/>
                <w:szCs w:val="21"/>
                <w:lang w:val="en-US" w:eastAsia="zh-CN"/>
              </w:rPr>
              <w:t>数量</w:t>
            </w:r>
          </w:p>
        </w:tc>
      </w:tr>
      <w:tr w14:paraId="10A3D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C0CED2F">
            <w:pPr>
              <w:widowControl/>
              <w:jc w:val="center"/>
              <w:textAlignment w:val="baseline"/>
              <w:rPr>
                <w:rFonts w:hint="default" w:cs="宋体"/>
                <w:sz w:val="21"/>
                <w:szCs w:val="21"/>
              </w:rPr>
            </w:pPr>
            <w:r>
              <w:rPr>
                <w:rFonts w:hint="default" w:cs="宋体"/>
                <w:sz w:val="21"/>
                <w:szCs w:val="21"/>
              </w:rPr>
              <w:t>1</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37ACC5">
            <w:pPr>
              <w:widowControl/>
              <w:jc w:val="center"/>
              <w:textAlignment w:val="baseline"/>
              <w:rPr>
                <w:rFonts w:hint="default" w:cs="宋体"/>
                <w:sz w:val="21"/>
                <w:szCs w:val="21"/>
                <w:lang w:val="en-US" w:eastAsia="zh-CN"/>
              </w:rPr>
            </w:pPr>
            <w:r>
              <w:rPr>
                <w:rFonts w:hint="default" w:cs="宋体"/>
                <w:spacing w:val="3"/>
                <w:sz w:val="21"/>
                <w:szCs w:val="21"/>
                <w:lang w:val="en-US" w:eastAsia="zh-CN"/>
              </w:rPr>
              <w:t>三菱PLC模块</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A5E3BB">
            <w:pPr>
              <w:widowControl/>
              <w:jc w:val="center"/>
              <w:textAlignment w:val="baseline"/>
              <w:rPr>
                <w:rFonts w:hint="default" w:cs="宋体"/>
                <w:sz w:val="21"/>
                <w:szCs w:val="21"/>
                <w:lang w:val="en-US" w:eastAsia="zh-CN"/>
              </w:rPr>
            </w:pPr>
            <w:r>
              <w:rPr>
                <w:rFonts w:hint="default" w:cs="宋体"/>
                <w:sz w:val="21"/>
                <w:szCs w:val="21"/>
                <w:lang w:val="en-US" w:eastAsia="zh-CN"/>
              </w:rPr>
              <w:t>FX3u-48MR</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579CEB9">
            <w:pPr>
              <w:widowControl/>
              <w:jc w:val="center"/>
              <w:textAlignment w:val="baseline"/>
              <w:rPr>
                <w:rFonts w:hint="default" w:cs="宋体"/>
                <w:kern w:val="2"/>
                <w:sz w:val="21"/>
                <w:szCs w:val="21"/>
                <w:lang w:val="en-US" w:eastAsia="zh-CN" w:bidi="ar-SA"/>
              </w:rPr>
            </w:pPr>
            <w:r>
              <w:rPr>
                <w:rFonts w:hint="default" w:cs="宋体"/>
                <w:spacing w:val="1"/>
                <w:sz w:val="21"/>
                <w:szCs w:val="21"/>
                <w:lang w:val="en-US" w:eastAsia="zh-CN"/>
              </w:rPr>
              <w:t>块</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F4C1A43">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w:t>
            </w:r>
          </w:p>
        </w:tc>
      </w:tr>
      <w:tr w14:paraId="189A2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497B92">
            <w:pPr>
              <w:widowControl/>
              <w:jc w:val="center"/>
              <w:textAlignment w:val="baseline"/>
              <w:rPr>
                <w:rFonts w:hint="default" w:cs="宋体"/>
                <w:sz w:val="21"/>
                <w:szCs w:val="21"/>
              </w:rPr>
            </w:pPr>
            <w:r>
              <w:rPr>
                <w:rFonts w:hint="default" w:cs="宋体"/>
                <w:sz w:val="21"/>
                <w:szCs w:val="21"/>
              </w:rPr>
              <w:t>2</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DAC8B8">
            <w:pPr>
              <w:widowControl/>
              <w:jc w:val="center"/>
              <w:textAlignment w:val="baseline"/>
              <w:rPr>
                <w:rFonts w:hint="default" w:cs="宋体"/>
                <w:sz w:val="21"/>
                <w:szCs w:val="21"/>
                <w:lang w:val="en-US" w:eastAsia="zh-CN"/>
              </w:rPr>
            </w:pPr>
            <w:r>
              <w:rPr>
                <w:rFonts w:hint="default" w:cs="宋体"/>
                <w:spacing w:val="3"/>
                <w:sz w:val="21"/>
                <w:szCs w:val="21"/>
                <w:lang w:val="en-US" w:eastAsia="zh-CN"/>
              </w:rPr>
              <w:t>三菱变频器模块</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2CC537E">
            <w:pPr>
              <w:widowControl/>
              <w:jc w:val="center"/>
              <w:textAlignment w:val="baseline"/>
              <w:rPr>
                <w:rFonts w:hint="default" w:cs="宋体"/>
                <w:sz w:val="21"/>
                <w:szCs w:val="21"/>
                <w:lang w:val="en-US" w:eastAsia="zh-CN"/>
              </w:rPr>
            </w:pPr>
            <w:r>
              <w:rPr>
                <w:rFonts w:hint="default" w:cs="宋体"/>
                <w:spacing w:val="4"/>
                <w:sz w:val="21"/>
                <w:szCs w:val="21"/>
                <w:lang w:val="en-US" w:eastAsia="zh-CN"/>
              </w:rPr>
              <w:t>E700/E740</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0B4638C">
            <w:pPr>
              <w:widowControl/>
              <w:jc w:val="center"/>
              <w:textAlignment w:val="baseline"/>
              <w:rPr>
                <w:rFonts w:hint="default" w:cs="宋体"/>
                <w:kern w:val="2"/>
                <w:sz w:val="21"/>
                <w:szCs w:val="21"/>
                <w:lang w:val="en-US" w:eastAsia="zh-CN" w:bidi="ar-SA"/>
              </w:rPr>
            </w:pPr>
            <w:r>
              <w:rPr>
                <w:rFonts w:hint="default" w:cs="宋体"/>
                <w:spacing w:val="1"/>
                <w:sz w:val="21"/>
                <w:szCs w:val="21"/>
                <w:lang w:val="en-US" w:eastAsia="zh-CN"/>
              </w:rPr>
              <w:t>块</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1C8072">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w:t>
            </w:r>
          </w:p>
        </w:tc>
      </w:tr>
      <w:tr w14:paraId="5F4A7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11666F7">
            <w:pPr>
              <w:widowControl/>
              <w:jc w:val="center"/>
              <w:textAlignment w:val="baseline"/>
              <w:rPr>
                <w:rFonts w:hint="default" w:cs="宋体"/>
                <w:sz w:val="21"/>
                <w:szCs w:val="21"/>
                <w:lang w:val="en-US" w:eastAsia="zh-CN"/>
              </w:rPr>
            </w:pPr>
            <w:r>
              <w:rPr>
                <w:rFonts w:hint="default" w:cs="宋体"/>
                <w:sz w:val="21"/>
                <w:szCs w:val="21"/>
                <w:lang w:val="en-US" w:eastAsia="zh-CN"/>
              </w:rPr>
              <w:t>3</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A5BE740">
            <w:pPr>
              <w:widowControl/>
              <w:jc w:val="center"/>
              <w:textAlignment w:val="baseline"/>
              <w:rPr>
                <w:rFonts w:hint="default" w:cs="宋体"/>
                <w:sz w:val="21"/>
                <w:szCs w:val="21"/>
                <w:lang w:val="en-US"/>
              </w:rPr>
            </w:pPr>
            <w:r>
              <w:rPr>
                <w:rFonts w:hint="default" w:cs="宋体"/>
                <w:spacing w:val="4"/>
                <w:sz w:val="21"/>
                <w:szCs w:val="21"/>
                <w:lang w:val="en-US" w:eastAsia="zh-CN"/>
              </w:rPr>
              <w:t>触摸屏模块</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F36ED8">
            <w:pPr>
              <w:widowControl/>
              <w:jc w:val="center"/>
              <w:textAlignment w:val="baseline"/>
              <w:rPr>
                <w:rFonts w:hint="default" w:cs="宋体"/>
                <w:sz w:val="21"/>
                <w:szCs w:val="21"/>
              </w:rPr>
            </w:pPr>
            <w:r>
              <w:rPr>
                <w:rFonts w:hint="default" w:cs="宋体"/>
                <w:spacing w:val="-2"/>
                <w:sz w:val="21"/>
                <w:szCs w:val="21"/>
                <w:lang w:val="en-US" w:eastAsia="zh-CN"/>
              </w:rPr>
              <w:t>昆仑通态TPC7062TX(KX)</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A47A9DA">
            <w:pPr>
              <w:widowControl/>
              <w:jc w:val="center"/>
              <w:textAlignment w:val="baseline"/>
              <w:rPr>
                <w:rFonts w:hint="default" w:cs="宋体"/>
                <w:kern w:val="2"/>
                <w:sz w:val="21"/>
                <w:szCs w:val="21"/>
                <w:lang w:val="en-US" w:eastAsia="zh-CN" w:bidi="ar-SA"/>
              </w:rPr>
            </w:pPr>
            <w:r>
              <w:rPr>
                <w:rFonts w:hint="default" w:cs="宋体"/>
                <w:spacing w:val="1"/>
                <w:sz w:val="21"/>
                <w:szCs w:val="21"/>
                <w:lang w:val="en-US" w:eastAsia="zh-CN"/>
              </w:rPr>
              <w:t>块</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693D27A">
            <w:pPr>
              <w:widowControl/>
              <w:jc w:val="center"/>
              <w:textAlignment w:val="baseline"/>
              <w:rPr>
                <w:rFonts w:hint="default" w:cs="宋体"/>
                <w:spacing w:val="1"/>
                <w:sz w:val="21"/>
                <w:szCs w:val="21"/>
                <w:lang w:val="en-US" w:eastAsia="zh-CN"/>
              </w:rPr>
            </w:pPr>
            <w:r>
              <w:rPr>
                <w:rFonts w:hint="default" w:cs="宋体"/>
                <w:spacing w:val="1"/>
                <w:sz w:val="21"/>
                <w:szCs w:val="21"/>
                <w:lang w:val="en-US" w:eastAsia="zh-CN"/>
              </w:rPr>
              <w:t>1</w:t>
            </w:r>
          </w:p>
        </w:tc>
      </w:tr>
      <w:tr w14:paraId="0BBFA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4E3B02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4</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02E92DD">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电源模块</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574101">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提供交流380V、</w:t>
            </w:r>
          </w:p>
          <w:p w14:paraId="7B8CB343">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220V电源</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6289203">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块</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B0DBDF">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w:t>
            </w:r>
          </w:p>
        </w:tc>
      </w:tr>
      <w:tr w14:paraId="7F8A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B2680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5</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3DD92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按钮指示灯模块</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A9BA0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提供DC24V/12V电源、</w:t>
            </w:r>
          </w:p>
          <w:p w14:paraId="325B7826">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按钮与指示灯</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3338D0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块</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FCB13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w:t>
            </w:r>
          </w:p>
        </w:tc>
      </w:tr>
      <w:tr w14:paraId="47D19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DB2911">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6</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B384948">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交流减速电机</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78B15B">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交流380V减速电机</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5CAB7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台</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EC617BF">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w:t>
            </w:r>
          </w:p>
        </w:tc>
      </w:tr>
      <w:tr w14:paraId="5052F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6C5688B">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7</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E054656">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电感传感器</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D14CF8F">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电感</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9FE22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个</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BB2CDD">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3</w:t>
            </w:r>
          </w:p>
        </w:tc>
      </w:tr>
      <w:tr w14:paraId="38ADB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CB0E19">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8</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251B386">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光电传感器</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836839">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光电</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4C755E6">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个</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D39628">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2</w:t>
            </w:r>
          </w:p>
        </w:tc>
      </w:tr>
      <w:tr w14:paraId="32937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80F4F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9</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8CDD01">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光纤传感器</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281637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光纤</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3043C5">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个</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4ABFAC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2</w:t>
            </w:r>
          </w:p>
        </w:tc>
      </w:tr>
      <w:tr w14:paraId="664FE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1D86D52">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10</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8C9A40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磁性开关</w:t>
            </w:r>
          </w:p>
        </w:tc>
        <w:tc>
          <w:tcPr>
            <w:tcW w:w="222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95C9AE">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磁性开关</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B9A69B9">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个</w:t>
            </w:r>
          </w:p>
        </w:tc>
        <w:tc>
          <w:tcPr>
            <w:tcW w:w="216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265529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12</w:t>
            </w:r>
          </w:p>
        </w:tc>
      </w:tr>
    </w:tbl>
    <w:p w14:paraId="5ADF7166">
      <w:pPr>
        <w:pStyle w:val="2"/>
        <w:spacing w:beforeLines="0" w:afterLines="0"/>
        <w:rPr>
          <w:rFonts w:hint="default"/>
          <w:sz w:val="21"/>
          <w:szCs w:val="22"/>
        </w:rPr>
      </w:pPr>
    </w:p>
    <w:p w14:paraId="383E67FD">
      <w:pPr>
        <w:pStyle w:val="5"/>
        <w:spacing w:before="0" w:after="0" w:line="240" w:lineRule="auto"/>
        <w:ind w:firstLine="422" w:firstLineChars="200"/>
        <w:rPr>
          <w:rFonts w:hint="default" w:cs="Times New Roman"/>
          <w:sz w:val="21"/>
          <w:szCs w:val="21"/>
          <w:lang w:val="en-US" w:eastAsia="zh-CN"/>
        </w:rPr>
      </w:pPr>
      <w:bookmarkStart w:id="88" w:name="_Toc18757"/>
      <w:r>
        <w:rPr>
          <w:rFonts w:hint="default" w:cs="Times New Roman"/>
          <w:sz w:val="21"/>
          <w:szCs w:val="21"/>
          <w:lang w:val="en-US" w:eastAsia="zh-CN"/>
        </w:rPr>
        <w:t>3.选手自备的设备和工具</w:t>
      </w:r>
      <w:bookmarkEnd w:id="87"/>
      <w:bookmarkEnd w:id="88"/>
    </w:p>
    <w:p w14:paraId="10911D47">
      <w:pPr>
        <w:widowControl/>
        <w:ind w:firstLine="420" w:firstLineChars="200"/>
        <w:jc w:val="both"/>
        <w:textAlignment w:val="baseline"/>
        <w:rPr>
          <w:rFonts w:hint="default" w:cs="宋体"/>
          <w:sz w:val="21"/>
          <w:szCs w:val="21"/>
          <w:lang w:val="en-US" w:eastAsia="zh-CN"/>
        </w:rPr>
      </w:pPr>
      <w:r>
        <w:rPr>
          <w:rFonts w:hint="default" w:cs="宋体"/>
          <w:sz w:val="21"/>
          <w:szCs w:val="21"/>
          <w:lang w:val="en-US" w:eastAsia="zh-CN"/>
        </w:rPr>
        <w:t>机电一体化赛项选手需自带安装工具，以及PLC通信线缆、触摸屏下载线等，如有特殊情况，选手也可现场借用通信线缆，但不可借用工具。</w:t>
      </w:r>
    </w:p>
    <w:p w14:paraId="323F0224">
      <w:pPr>
        <w:widowControl/>
        <w:ind w:firstLine="420" w:firstLineChars="200"/>
        <w:jc w:val="both"/>
        <w:textAlignment w:val="baseline"/>
        <w:rPr>
          <w:rFonts w:hint="default" w:cs="宋体"/>
          <w:sz w:val="21"/>
          <w:szCs w:val="21"/>
          <w:lang w:val="en-US" w:eastAsia="zh-CN"/>
        </w:rPr>
      </w:pPr>
      <w:r>
        <w:rPr>
          <w:rFonts w:hint="default" w:cs="宋体"/>
          <w:sz w:val="21"/>
          <w:szCs w:val="21"/>
          <w:lang w:val="en-US" w:eastAsia="zh-CN"/>
        </w:rPr>
        <w:t>工具建议列表如下，如有需求，自行添加：</w:t>
      </w:r>
    </w:p>
    <w:p w14:paraId="5E5B3E7D">
      <w:pPr>
        <w:pStyle w:val="2"/>
        <w:spacing w:beforeLines="0" w:afterLines="0"/>
        <w:rPr>
          <w:rFonts w:hint="default" w:ascii="宋体"/>
          <w:sz w:val="21"/>
          <w:szCs w:val="22"/>
        </w:rPr>
      </w:pPr>
    </w:p>
    <w:p w14:paraId="4EBC2B10">
      <w:pPr>
        <w:pStyle w:val="2"/>
        <w:spacing w:beforeLines="0" w:afterLines="0"/>
        <w:jc w:val="center"/>
        <w:rPr>
          <w:rFonts w:hint="default"/>
          <w:sz w:val="21"/>
          <w:szCs w:val="22"/>
        </w:rPr>
      </w:pPr>
      <w:r>
        <w:rPr>
          <w:rFonts w:hint="default" w:ascii="宋体" w:hAnsi="宋体" w:cs="宋体"/>
          <w:sz w:val="21"/>
          <w:szCs w:val="21"/>
        </w:rPr>
        <w:t>表7建议自带工具清单</w:t>
      </w:r>
    </w:p>
    <w:tbl>
      <w:tblPr>
        <w:tblStyle w:val="15"/>
        <w:tblW w:w="89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2665"/>
        <w:gridCol w:w="2665"/>
        <w:gridCol w:w="2757"/>
      </w:tblGrid>
      <w:tr w14:paraId="67172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F1DFE50">
            <w:pPr>
              <w:widowControl/>
              <w:jc w:val="center"/>
              <w:textAlignment w:val="baseline"/>
              <w:rPr>
                <w:rFonts w:hint="default" w:cs="宋体"/>
                <w:sz w:val="21"/>
                <w:szCs w:val="21"/>
              </w:rPr>
            </w:pPr>
            <w:r>
              <w:rPr>
                <w:rFonts w:hint="default" w:cs="宋体"/>
                <w:spacing w:val="-2"/>
                <w:sz w:val="21"/>
                <w:szCs w:val="21"/>
              </w:rPr>
              <w:t>序号</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31F190F">
            <w:pPr>
              <w:widowControl/>
              <w:jc w:val="center"/>
              <w:textAlignment w:val="baseline"/>
              <w:rPr>
                <w:rFonts w:hint="default" w:cs="宋体"/>
                <w:sz w:val="21"/>
                <w:szCs w:val="21"/>
              </w:rPr>
            </w:pPr>
            <w:r>
              <w:rPr>
                <w:rFonts w:hint="default" w:cs="宋体"/>
                <w:spacing w:val="5"/>
                <w:sz w:val="21"/>
                <w:szCs w:val="21"/>
              </w:rPr>
              <w:t>名称</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EF41E5A">
            <w:pPr>
              <w:widowControl/>
              <w:jc w:val="center"/>
              <w:textAlignment w:val="baseline"/>
              <w:rPr>
                <w:rFonts w:hint="default" w:cs="宋体"/>
                <w:sz w:val="21"/>
                <w:szCs w:val="21"/>
                <w:lang w:eastAsia="zh-CN"/>
              </w:rPr>
            </w:pPr>
            <w:r>
              <w:rPr>
                <w:rFonts w:hint="default" w:cs="宋体"/>
                <w:spacing w:val="-2"/>
                <w:sz w:val="21"/>
                <w:szCs w:val="21"/>
              </w:rPr>
              <w:t>技术规格</w:t>
            </w:r>
            <w:r>
              <w:rPr>
                <w:rFonts w:hint="default" w:cs="宋体"/>
                <w:spacing w:val="-2"/>
                <w:sz w:val="21"/>
                <w:szCs w:val="21"/>
                <w:lang w:eastAsia="zh-CN"/>
              </w:rPr>
              <w:t>（</w:t>
            </w:r>
            <w:r>
              <w:rPr>
                <w:rFonts w:hint="default" w:cs="宋体"/>
                <w:spacing w:val="-2"/>
                <w:sz w:val="21"/>
                <w:szCs w:val="21"/>
                <w:lang w:val="en-US" w:eastAsia="zh-CN"/>
              </w:rPr>
              <w:t>备注</w:t>
            </w:r>
            <w:r>
              <w:rPr>
                <w:rFonts w:hint="default" w:cs="宋体"/>
                <w:spacing w:val="-2"/>
                <w:sz w:val="21"/>
                <w:szCs w:val="21"/>
                <w:lang w:eastAsia="zh-CN"/>
              </w:rPr>
              <w:t>）</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BE9301A">
            <w:pPr>
              <w:widowControl/>
              <w:jc w:val="center"/>
              <w:textAlignment w:val="baseline"/>
              <w:rPr>
                <w:rFonts w:hint="default" w:cs="宋体"/>
                <w:kern w:val="2"/>
                <w:sz w:val="21"/>
                <w:szCs w:val="21"/>
                <w:lang w:val="en-US" w:eastAsia="zh-CN" w:bidi="ar-SA"/>
              </w:rPr>
            </w:pPr>
            <w:r>
              <w:rPr>
                <w:rFonts w:hint="default" w:cs="宋体"/>
                <w:spacing w:val="-5"/>
                <w:sz w:val="21"/>
                <w:szCs w:val="21"/>
              </w:rPr>
              <w:t>数量</w:t>
            </w:r>
          </w:p>
        </w:tc>
      </w:tr>
      <w:tr w14:paraId="6431A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CE00F0">
            <w:pPr>
              <w:widowControl/>
              <w:jc w:val="center"/>
              <w:textAlignment w:val="baseline"/>
              <w:rPr>
                <w:rFonts w:hint="default" w:cs="宋体"/>
                <w:sz w:val="21"/>
                <w:szCs w:val="21"/>
              </w:rPr>
            </w:pPr>
            <w:r>
              <w:rPr>
                <w:rFonts w:hint="default" w:cs="宋体"/>
                <w:sz w:val="21"/>
                <w:szCs w:val="21"/>
              </w:rPr>
              <w:t>1</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55EEE57">
            <w:pPr>
              <w:widowControl/>
              <w:jc w:val="center"/>
              <w:textAlignment w:val="baseline"/>
              <w:rPr>
                <w:rFonts w:hint="default" w:cs="宋体"/>
                <w:sz w:val="21"/>
                <w:szCs w:val="21"/>
              </w:rPr>
            </w:pPr>
            <w:r>
              <w:rPr>
                <w:rFonts w:hint="default" w:cs="宋体"/>
                <w:spacing w:val="3"/>
                <w:sz w:val="21"/>
                <w:szCs w:val="21"/>
              </w:rPr>
              <w:t>电工用螺丝刀</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25C4AF">
            <w:pPr>
              <w:widowControl/>
              <w:jc w:val="center"/>
              <w:textAlignment w:val="baseline"/>
              <w:rPr>
                <w:rFonts w:hint="default" w:cs="宋体"/>
                <w:sz w:val="21"/>
                <w:szCs w:val="21"/>
              </w:rPr>
            </w:pPr>
            <w:r>
              <w:rPr>
                <w:rFonts w:hint="default" w:cs="宋体"/>
                <w:spacing w:val="4"/>
                <w:sz w:val="21"/>
                <w:szCs w:val="21"/>
              </w:rPr>
              <w:t>一字型</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097624D">
            <w:pPr>
              <w:widowControl/>
              <w:jc w:val="center"/>
              <w:textAlignment w:val="baseline"/>
              <w:rPr>
                <w:rFonts w:hint="default" w:cs="宋体"/>
                <w:kern w:val="2"/>
                <w:sz w:val="21"/>
                <w:szCs w:val="21"/>
                <w:lang w:val="en-US" w:eastAsia="zh-CN" w:bidi="ar-SA"/>
              </w:rPr>
            </w:pPr>
            <w:r>
              <w:rPr>
                <w:rFonts w:hint="default" w:cs="宋体"/>
                <w:spacing w:val="1"/>
                <w:sz w:val="21"/>
                <w:szCs w:val="21"/>
              </w:rPr>
              <w:t>1只/选手</w:t>
            </w:r>
          </w:p>
        </w:tc>
      </w:tr>
      <w:tr w14:paraId="4EE1D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50201E4">
            <w:pPr>
              <w:widowControl/>
              <w:jc w:val="center"/>
              <w:textAlignment w:val="baseline"/>
              <w:rPr>
                <w:rFonts w:hint="default" w:cs="宋体"/>
                <w:sz w:val="21"/>
                <w:szCs w:val="21"/>
              </w:rPr>
            </w:pPr>
            <w:r>
              <w:rPr>
                <w:rFonts w:hint="default" w:cs="宋体"/>
                <w:sz w:val="21"/>
                <w:szCs w:val="21"/>
              </w:rPr>
              <w:t>2</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02D3481">
            <w:pPr>
              <w:widowControl/>
              <w:jc w:val="center"/>
              <w:textAlignment w:val="baseline"/>
              <w:rPr>
                <w:rFonts w:hint="default" w:cs="宋体"/>
                <w:sz w:val="21"/>
                <w:szCs w:val="21"/>
                <w:lang w:val="en-US" w:eastAsia="zh-CN"/>
              </w:rPr>
            </w:pPr>
            <w:r>
              <w:rPr>
                <w:rFonts w:hint="default" w:cs="宋体"/>
                <w:spacing w:val="3"/>
                <w:sz w:val="21"/>
                <w:szCs w:val="21"/>
              </w:rPr>
              <w:t>电工用螺丝刀</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A0253E9">
            <w:pPr>
              <w:widowControl/>
              <w:jc w:val="center"/>
              <w:textAlignment w:val="baseline"/>
              <w:rPr>
                <w:rFonts w:hint="default" w:cs="宋体"/>
                <w:sz w:val="21"/>
                <w:szCs w:val="21"/>
                <w:lang w:val="en-US" w:eastAsia="zh-CN"/>
              </w:rPr>
            </w:pPr>
            <w:r>
              <w:rPr>
                <w:rFonts w:hint="default" w:cs="宋体"/>
                <w:spacing w:val="4"/>
                <w:sz w:val="21"/>
                <w:szCs w:val="21"/>
                <w:lang w:val="en-US" w:eastAsia="zh-CN"/>
              </w:rPr>
              <w:t>十</w:t>
            </w:r>
            <w:r>
              <w:rPr>
                <w:rFonts w:hint="default" w:cs="宋体"/>
                <w:spacing w:val="4"/>
                <w:sz w:val="21"/>
                <w:szCs w:val="21"/>
              </w:rPr>
              <w:t>字型</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DB1F5AB">
            <w:pPr>
              <w:widowControl/>
              <w:jc w:val="center"/>
              <w:textAlignment w:val="baseline"/>
              <w:rPr>
                <w:rFonts w:hint="default" w:cs="宋体"/>
                <w:kern w:val="2"/>
                <w:sz w:val="21"/>
                <w:szCs w:val="21"/>
                <w:lang w:val="en-US" w:eastAsia="zh-CN" w:bidi="ar-SA"/>
              </w:rPr>
            </w:pPr>
            <w:r>
              <w:rPr>
                <w:rFonts w:hint="default" w:cs="宋体"/>
                <w:spacing w:val="1"/>
                <w:sz w:val="21"/>
                <w:szCs w:val="21"/>
              </w:rPr>
              <w:t>1只/选手</w:t>
            </w:r>
          </w:p>
        </w:tc>
      </w:tr>
      <w:tr w14:paraId="30E55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763B41B">
            <w:pPr>
              <w:widowControl/>
              <w:jc w:val="center"/>
              <w:textAlignment w:val="baseline"/>
              <w:rPr>
                <w:rFonts w:hint="default" w:cs="宋体"/>
                <w:sz w:val="21"/>
                <w:szCs w:val="21"/>
                <w:lang w:val="en-US" w:eastAsia="zh-CN"/>
              </w:rPr>
            </w:pPr>
            <w:r>
              <w:rPr>
                <w:rFonts w:hint="default" w:cs="宋体"/>
                <w:sz w:val="21"/>
                <w:szCs w:val="21"/>
                <w:lang w:val="en-US" w:eastAsia="zh-CN"/>
              </w:rPr>
              <w:t>3</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BA484CF">
            <w:pPr>
              <w:widowControl/>
              <w:jc w:val="center"/>
              <w:textAlignment w:val="baseline"/>
              <w:rPr>
                <w:rFonts w:hint="default" w:cs="宋体"/>
                <w:sz w:val="21"/>
                <w:szCs w:val="21"/>
              </w:rPr>
            </w:pPr>
            <w:r>
              <w:rPr>
                <w:rFonts w:hint="default" w:cs="宋体"/>
                <w:spacing w:val="4"/>
                <w:sz w:val="21"/>
                <w:szCs w:val="21"/>
                <w:lang w:val="en-US" w:eastAsia="zh-CN"/>
              </w:rPr>
              <w:t>冷压多端子</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9BCEE7">
            <w:pPr>
              <w:widowControl/>
              <w:jc w:val="center"/>
              <w:textAlignment w:val="baseline"/>
              <w:rPr>
                <w:rFonts w:hint="default" w:cs="宋体"/>
                <w:sz w:val="21"/>
                <w:szCs w:val="21"/>
              </w:rPr>
            </w:pPr>
            <w:r>
              <w:rPr>
                <w:rFonts w:hint="default" w:cs="宋体"/>
                <w:sz w:val="21"/>
                <w:szCs w:val="21"/>
                <w:lang w:val="en-US" w:eastAsia="zh-CN"/>
              </w:rPr>
              <w:t>红、绿、黄、蓝、黑</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1C150A6">
            <w:pPr>
              <w:widowControl/>
              <w:jc w:val="center"/>
              <w:textAlignment w:val="baseline"/>
              <w:rPr>
                <w:rFonts w:hint="default" w:cs="宋体"/>
                <w:kern w:val="2"/>
                <w:sz w:val="21"/>
                <w:szCs w:val="21"/>
                <w:lang w:val="en-US" w:eastAsia="zh-CN" w:bidi="ar-SA"/>
              </w:rPr>
            </w:pPr>
            <w:r>
              <w:rPr>
                <w:rFonts w:hint="default" w:cs="宋体"/>
                <w:spacing w:val="1"/>
                <w:sz w:val="21"/>
                <w:szCs w:val="21"/>
              </w:rPr>
              <w:t>1</w:t>
            </w:r>
            <w:r>
              <w:rPr>
                <w:rFonts w:hint="default" w:cs="宋体"/>
                <w:spacing w:val="1"/>
                <w:sz w:val="21"/>
                <w:szCs w:val="21"/>
                <w:lang w:val="en-US" w:eastAsia="zh-CN"/>
              </w:rPr>
              <w:t>包</w:t>
            </w:r>
            <w:r>
              <w:rPr>
                <w:rFonts w:hint="default" w:cs="宋体"/>
                <w:spacing w:val="1"/>
                <w:sz w:val="21"/>
                <w:szCs w:val="21"/>
              </w:rPr>
              <w:t>/选手</w:t>
            </w:r>
          </w:p>
        </w:tc>
      </w:tr>
      <w:tr w14:paraId="42052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468ADA8">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4</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A3240B0">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套码管</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8C467AD">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O/u型</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B35D2BD">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1包/选手</w:t>
            </w:r>
          </w:p>
        </w:tc>
      </w:tr>
      <w:tr w14:paraId="1BC99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364E967">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5</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9B999F3">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橡胶锤</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5A2D80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把</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4417EDD">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1把/选手</w:t>
            </w:r>
          </w:p>
        </w:tc>
      </w:tr>
      <w:tr w14:paraId="309C9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35E1B6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6</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04E7F57">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剥线钳</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F7EA7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把</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C2217E4">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1把/选手</w:t>
            </w:r>
          </w:p>
        </w:tc>
      </w:tr>
      <w:tr w14:paraId="61918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584CD22">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7</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ECFF553">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压线钳</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C51517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把</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6109B63">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1把/选手</w:t>
            </w:r>
          </w:p>
        </w:tc>
      </w:tr>
      <w:tr w14:paraId="4667C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1AABFF3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8</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70CA124">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内六角扳手</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1DEA872">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套</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49B4C9">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1套/选手</w:t>
            </w:r>
          </w:p>
        </w:tc>
      </w:tr>
      <w:tr w14:paraId="66666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1AB766C">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9</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4B63481">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活口扳手</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E09BF4">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把</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CBEA12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1把/选手</w:t>
            </w:r>
          </w:p>
        </w:tc>
      </w:tr>
      <w:tr w14:paraId="5BBBF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wBefore w:w="0" w:type="dxa"/>
          <w:wAfter w:w="0" w:type="dxa"/>
          <w:trHeight w:val="567" w:hRule="atLeast"/>
          <w:jc w:val="center"/>
        </w:trPr>
        <w:tc>
          <w:tcPr>
            <w:tcW w:w="87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0B38638">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10</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FE7674B">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钢板尺</w:t>
            </w:r>
          </w:p>
        </w:tc>
        <w:tc>
          <w:tcPr>
            <w:tcW w:w="26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64D5CB">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把</w:t>
            </w:r>
          </w:p>
        </w:tc>
        <w:tc>
          <w:tcPr>
            <w:tcW w:w="275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DB3440A">
            <w:pPr>
              <w:widowControl/>
              <w:jc w:val="center"/>
              <w:textAlignment w:val="baseline"/>
              <w:rPr>
                <w:rFonts w:hint="default" w:cs="宋体"/>
                <w:spacing w:val="-2"/>
                <w:sz w:val="21"/>
                <w:szCs w:val="21"/>
                <w:lang w:val="en-US" w:eastAsia="zh-CN"/>
              </w:rPr>
            </w:pPr>
            <w:r>
              <w:rPr>
                <w:rFonts w:hint="default" w:cs="宋体"/>
                <w:spacing w:val="-2"/>
                <w:sz w:val="21"/>
                <w:szCs w:val="21"/>
                <w:lang w:val="en-US" w:eastAsia="zh-CN"/>
              </w:rPr>
              <w:t>1把/选手</w:t>
            </w:r>
          </w:p>
        </w:tc>
      </w:tr>
    </w:tbl>
    <w:p w14:paraId="4A361A60">
      <w:pPr>
        <w:pStyle w:val="2"/>
        <w:spacing w:beforeLines="0" w:afterLines="0"/>
        <w:rPr>
          <w:rFonts w:hint="default"/>
          <w:sz w:val="21"/>
          <w:szCs w:val="22"/>
        </w:rPr>
      </w:pPr>
    </w:p>
    <w:p w14:paraId="2FDE0465">
      <w:pPr>
        <w:pStyle w:val="5"/>
        <w:spacing w:before="0" w:after="0" w:line="240" w:lineRule="auto"/>
        <w:ind w:firstLine="422" w:firstLineChars="200"/>
        <w:rPr>
          <w:rFonts w:hint="default" w:cs="Times New Roman"/>
          <w:sz w:val="21"/>
          <w:szCs w:val="21"/>
          <w:lang w:val="en-US" w:eastAsia="zh-CN"/>
        </w:rPr>
      </w:pPr>
      <w:bookmarkStart w:id="89" w:name="_Toc17628"/>
      <w:bookmarkStart w:id="90" w:name="_Toc18278"/>
      <w:r>
        <w:rPr>
          <w:rFonts w:hint="default" w:cs="Times New Roman"/>
          <w:sz w:val="21"/>
          <w:szCs w:val="21"/>
          <w:lang w:val="en-US" w:eastAsia="zh-CN"/>
        </w:rPr>
        <w:t>4.赛场禁止自带使用的设备、工具和材料</w:t>
      </w:r>
      <w:bookmarkEnd w:id="89"/>
      <w:bookmarkEnd w:id="90"/>
    </w:p>
    <w:p w14:paraId="0B4A4B8A">
      <w:pPr>
        <w:widowControl/>
        <w:ind w:firstLine="420" w:firstLineChars="200"/>
        <w:jc w:val="both"/>
        <w:textAlignment w:val="baseline"/>
        <w:rPr>
          <w:rFonts w:hint="default" w:cs="宋体"/>
          <w:color w:val="FF0000"/>
          <w:sz w:val="21"/>
          <w:szCs w:val="21"/>
          <w:lang w:val="en-US" w:eastAsia="zh-CN"/>
        </w:rPr>
      </w:pPr>
      <w:r>
        <w:rPr>
          <w:rFonts w:hint="default" w:cs="宋体"/>
          <w:sz w:val="21"/>
          <w:szCs w:val="21"/>
          <w:lang w:val="en-US" w:eastAsia="zh-CN"/>
        </w:rPr>
        <w:t>机电一体化赛项禁止携带电工工具、刀具、开刃大于8CM的剪刀，其他禁带物品以现场检录要求为准；禁带有毒有害物品见表8。</w:t>
      </w:r>
    </w:p>
    <w:p w14:paraId="057E7A62">
      <w:pPr>
        <w:pStyle w:val="2"/>
        <w:spacing w:beforeLines="0" w:afterLines="0"/>
        <w:rPr>
          <w:rFonts w:hint="default"/>
          <w:sz w:val="21"/>
          <w:szCs w:val="22"/>
        </w:rPr>
      </w:pPr>
    </w:p>
    <w:p w14:paraId="290DFF92">
      <w:pPr>
        <w:pStyle w:val="7"/>
        <w:kinsoku w:val="0"/>
        <w:overflowPunct w:val="0"/>
        <w:ind w:firstLine="420" w:firstLineChars="200"/>
        <w:jc w:val="center"/>
        <w:rPr>
          <w:rFonts w:hint="default" w:cs="宋体"/>
          <w:sz w:val="21"/>
          <w:szCs w:val="21"/>
        </w:rPr>
      </w:pPr>
      <w:r>
        <w:rPr>
          <w:rFonts w:hint="default" w:cs="宋体"/>
          <w:sz w:val="21"/>
          <w:szCs w:val="21"/>
        </w:rPr>
        <w:t>表</w:t>
      </w:r>
      <w:r>
        <w:rPr>
          <w:rFonts w:hint="default" w:cs="宋体"/>
          <w:sz w:val="21"/>
          <w:szCs w:val="21"/>
          <w:lang w:val="en-US" w:eastAsia="zh-CN"/>
        </w:rPr>
        <w:t>8</w:t>
      </w:r>
      <w:r>
        <w:rPr>
          <w:rFonts w:hint="default" w:cs="宋体"/>
          <w:sz w:val="21"/>
          <w:szCs w:val="21"/>
        </w:rPr>
        <w:t xml:space="preserve"> 受限有毒有害物品清单</w:t>
      </w:r>
    </w:p>
    <w:tbl>
      <w:tblPr>
        <w:tblStyle w:val="15"/>
        <w:tblW w:w="0" w:type="auto"/>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16"/>
        <w:gridCol w:w="2878"/>
        <w:gridCol w:w="2825"/>
      </w:tblGrid>
      <w:tr w14:paraId="33EF7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524" w:hRule="atLeast"/>
        </w:trPr>
        <w:tc>
          <w:tcPr>
            <w:tcW w:w="2816"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7FA7A7">
            <w:pPr>
              <w:pStyle w:val="19"/>
              <w:kinsoku w:val="0"/>
              <w:overflowPunct w:val="0"/>
              <w:spacing w:before="81" w:line="360" w:lineRule="auto"/>
              <w:ind w:left="913" w:right="893"/>
              <w:jc w:val="center"/>
              <w:rPr>
                <w:rFonts w:hint="default"/>
                <w:sz w:val="24"/>
                <w:szCs w:val="24"/>
                <w:lang w:val="en-US" w:eastAsia="zh-CN"/>
              </w:rPr>
            </w:pPr>
            <w:r>
              <w:rPr>
                <w:rFonts w:hint="default"/>
                <w:sz w:val="24"/>
                <w:szCs w:val="24"/>
                <w:lang w:val="en-US" w:eastAsia="zh-CN"/>
              </w:rPr>
              <w:t>物品</w:t>
            </w:r>
          </w:p>
        </w:tc>
        <w:tc>
          <w:tcPr>
            <w:tcW w:w="287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3445FA">
            <w:pPr>
              <w:pStyle w:val="19"/>
              <w:kinsoku w:val="0"/>
              <w:overflowPunct w:val="0"/>
              <w:spacing w:before="81" w:line="360" w:lineRule="auto"/>
              <w:ind w:left="913" w:right="893"/>
              <w:jc w:val="center"/>
              <w:rPr>
                <w:rFonts w:hint="default"/>
                <w:sz w:val="24"/>
                <w:szCs w:val="24"/>
                <w:lang w:val="en-US" w:eastAsia="zh-CN"/>
              </w:rPr>
            </w:pPr>
            <w:r>
              <w:rPr>
                <w:rFonts w:hint="default"/>
                <w:sz w:val="24"/>
                <w:szCs w:val="24"/>
                <w:lang w:val="en-US" w:eastAsia="zh-CN"/>
              </w:rPr>
              <w:t>图示</w:t>
            </w:r>
          </w:p>
        </w:tc>
        <w:tc>
          <w:tcPr>
            <w:tcW w:w="28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CB9C03">
            <w:pPr>
              <w:pStyle w:val="19"/>
              <w:kinsoku w:val="0"/>
              <w:overflowPunct w:val="0"/>
              <w:spacing w:before="81" w:line="360" w:lineRule="auto"/>
              <w:ind w:left="913" w:right="893"/>
              <w:jc w:val="center"/>
              <w:rPr>
                <w:rFonts w:hint="default"/>
                <w:sz w:val="24"/>
                <w:szCs w:val="24"/>
                <w:lang w:val="en-US" w:eastAsia="zh-CN"/>
              </w:rPr>
            </w:pPr>
            <w:r>
              <w:rPr>
                <w:rFonts w:hint="default"/>
                <w:sz w:val="24"/>
                <w:szCs w:val="24"/>
                <w:lang w:val="en-US" w:eastAsia="zh-CN"/>
              </w:rPr>
              <w:t>说明</w:t>
            </w:r>
          </w:p>
        </w:tc>
      </w:tr>
      <w:tr w14:paraId="55EE5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849" w:hRule="atLeast"/>
        </w:trPr>
        <w:tc>
          <w:tcPr>
            <w:tcW w:w="2816"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0483F4">
            <w:pPr>
              <w:pStyle w:val="19"/>
              <w:kinsoku w:val="0"/>
              <w:overflowPunct w:val="0"/>
              <w:spacing w:before="4" w:line="360" w:lineRule="auto"/>
              <w:rPr>
                <w:rFonts w:hint="default"/>
                <w:sz w:val="27"/>
                <w:szCs w:val="24"/>
              </w:rPr>
            </w:pPr>
          </w:p>
          <w:p w14:paraId="60774612">
            <w:pPr>
              <w:pStyle w:val="19"/>
              <w:kinsoku w:val="0"/>
              <w:overflowPunct w:val="0"/>
              <w:spacing w:line="360" w:lineRule="auto"/>
              <w:ind w:left="556"/>
              <w:rPr>
                <w:rFonts w:hint="default"/>
                <w:sz w:val="24"/>
                <w:szCs w:val="24"/>
              </w:rPr>
            </w:pPr>
            <w:r>
              <w:rPr>
                <w:rFonts w:hint="default"/>
                <w:sz w:val="24"/>
                <w:szCs w:val="24"/>
              </w:rPr>
              <w:t>防锈清洗剂</w:t>
            </w:r>
          </w:p>
        </w:tc>
        <w:tc>
          <w:tcPr>
            <w:tcW w:w="287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B158CF">
            <w:pPr>
              <w:pStyle w:val="19"/>
              <w:kinsoku w:val="0"/>
              <w:overflowPunct w:val="0"/>
              <w:spacing w:line="360" w:lineRule="auto"/>
              <w:ind w:left="796"/>
              <w:rPr>
                <w:rFonts w:hint="default"/>
                <w:sz w:val="20"/>
                <w:szCs w:val="24"/>
              </w:rPr>
            </w:pPr>
            <w:r>
              <w:rPr>
                <w:rFonts w:hint="default"/>
                <w:sz w:val="20"/>
                <w:szCs w:val="24"/>
              </w:rPr>
              <w:drawing>
                <wp:inline distT="0" distB="0" distL="114300" distR="114300">
                  <wp:extent cx="267970" cy="574040"/>
                  <wp:effectExtent l="0" t="0" r="17780" b="1651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267970" cy="574040"/>
                          </a:xfrm>
                          <a:prstGeom prst="rect">
                            <a:avLst/>
                          </a:prstGeom>
                          <a:noFill/>
                          <a:ln>
                            <a:noFill/>
                          </a:ln>
                        </pic:spPr>
                      </pic:pic>
                    </a:graphicData>
                  </a:graphic>
                </wp:inline>
              </w:drawing>
            </w:r>
          </w:p>
        </w:tc>
        <w:tc>
          <w:tcPr>
            <w:tcW w:w="28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D25A96">
            <w:pPr>
              <w:pStyle w:val="19"/>
              <w:kinsoku w:val="0"/>
              <w:overflowPunct w:val="0"/>
              <w:spacing w:before="4" w:line="360" w:lineRule="auto"/>
              <w:rPr>
                <w:rFonts w:hint="default"/>
                <w:sz w:val="27"/>
                <w:szCs w:val="24"/>
              </w:rPr>
            </w:pPr>
          </w:p>
          <w:p w14:paraId="1C8FC57F">
            <w:pPr>
              <w:pStyle w:val="19"/>
              <w:kinsoku w:val="0"/>
              <w:overflowPunct w:val="0"/>
              <w:spacing w:line="360" w:lineRule="auto"/>
              <w:ind w:left="553"/>
              <w:rPr>
                <w:rFonts w:hint="default"/>
                <w:sz w:val="24"/>
                <w:szCs w:val="24"/>
              </w:rPr>
            </w:pPr>
            <w:r>
              <w:rPr>
                <w:rFonts w:hint="default"/>
                <w:sz w:val="24"/>
                <w:szCs w:val="24"/>
              </w:rPr>
              <w:t>禁止携带</w:t>
            </w:r>
          </w:p>
        </w:tc>
      </w:tr>
      <w:tr w14:paraId="2A198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899" w:hRule="atLeast"/>
        </w:trPr>
        <w:tc>
          <w:tcPr>
            <w:tcW w:w="2816"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5AAF4A6">
            <w:pPr>
              <w:pStyle w:val="19"/>
              <w:kinsoku w:val="0"/>
              <w:overflowPunct w:val="0"/>
              <w:spacing w:before="8" w:line="360" w:lineRule="auto"/>
              <w:rPr>
                <w:rFonts w:hint="default"/>
                <w:sz w:val="25"/>
                <w:szCs w:val="24"/>
              </w:rPr>
            </w:pPr>
          </w:p>
          <w:p w14:paraId="6791B87F">
            <w:pPr>
              <w:pStyle w:val="19"/>
              <w:kinsoku w:val="0"/>
              <w:overflowPunct w:val="0"/>
              <w:spacing w:line="360" w:lineRule="auto"/>
              <w:ind w:left="556"/>
              <w:rPr>
                <w:rFonts w:hint="default"/>
                <w:sz w:val="24"/>
                <w:szCs w:val="24"/>
              </w:rPr>
            </w:pPr>
            <w:r>
              <w:rPr>
                <w:rFonts w:hint="default"/>
                <w:sz w:val="24"/>
                <w:szCs w:val="24"/>
              </w:rPr>
              <w:t>酒精</w:t>
            </w:r>
          </w:p>
        </w:tc>
        <w:tc>
          <w:tcPr>
            <w:tcW w:w="287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825C6A">
            <w:pPr>
              <w:pStyle w:val="19"/>
              <w:kinsoku w:val="0"/>
              <w:overflowPunct w:val="0"/>
              <w:spacing w:line="360" w:lineRule="auto"/>
              <w:ind w:left="743"/>
              <w:rPr>
                <w:rFonts w:hint="default"/>
                <w:sz w:val="20"/>
                <w:szCs w:val="24"/>
              </w:rPr>
            </w:pPr>
            <w:r>
              <w:rPr>
                <w:rFonts w:hint="default"/>
                <w:sz w:val="20"/>
                <w:szCs w:val="24"/>
              </w:rPr>
              <w:drawing>
                <wp:inline distT="0" distB="0" distL="114300" distR="114300">
                  <wp:extent cx="334645" cy="544830"/>
                  <wp:effectExtent l="0" t="0" r="8255" b="762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7"/>
                          <a:stretch>
                            <a:fillRect/>
                          </a:stretch>
                        </pic:blipFill>
                        <pic:spPr>
                          <a:xfrm>
                            <a:off x="0" y="0"/>
                            <a:ext cx="334645" cy="544830"/>
                          </a:xfrm>
                          <a:prstGeom prst="rect">
                            <a:avLst/>
                          </a:prstGeom>
                          <a:noFill/>
                          <a:ln>
                            <a:noFill/>
                          </a:ln>
                        </pic:spPr>
                      </pic:pic>
                    </a:graphicData>
                  </a:graphic>
                </wp:inline>
              </w:drawing>
            </w:r>
          </w:p>
        </w:tc>
        <w:tc>
          <w:tcPr>
            <w:tcW w:w="28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D1D683">
            <w:pPr>
              <w:pStyle w:val="19"/>
              <w:kinsoku w:val="0"/>
              <w:overflowPunct w:val="0"/>
              <w:spacing w:before="8" w:line="360" w:lineRule="auto"/>
              <w:rPr>
                <w:rFonts w:hint="default"/>
                <w:sz w:val="25"/>
                <w:szCs w:val="24"/>
              </w:rPr>
            </w:pPr>
          </w:p>
          <w:p w14:paraId="336FAFCF">
            <w:pPr>
              <w:pStyle w:val="19"/>
              <w:kinsoku w:val="0"/>
              <w:overflowPunct w:val="0"/>
              <w:spacing w:line="360" w:lineRule="auto"/>
              <w:ind w:left="553"/>
              <w:rPr>
                <w:rFonts w:hint="default"/>
                <w:sz w:val="24"/>
                <w:szCs w:val="24"/>
              </w:rPr>
            </w:pPr>
            <w:r>
              <w:rPr>
                <w:rFonts w:hint="default"/>
                <w:sz w:val="24"/>
                <w:szCs w:val="24"/>
              </w:rPr>
              <w:t>严禁携带</w:t>
            </w:r>
          </w:p>
        </w:tc>
      </w:tr>
      <w:tr w14:paraId="6A1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743" w:hRule="atLeast"/>
        </w:trPr>
        <w:tc>
          <w:tcPr>
            <w:tcW w:w="2816"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FE0882">
            <w:pPr>
              <w:pStyle w:val="19"/>
              <w:kinsoku w:val="0"/>
              <w:overflowPunct w:val="0"/>
              <w:spacing w:before="8" w:line="360" w:lineRule="auto"/>
              <w:rPr>
                <w:rFonts w:hint="default"/>
                <w:sz w:val="19"/>
                <w:szCs w:val="24"/>
              </w:rPr>
            </w:pPr>
          </w:p>
          <w:p w14:paraId="132B6F5E">
            <w:pPr>
              <w:pStyle w:val="19"/>
              <w:kinsoku w:val="0"/>
              <w:overflowPunct w:val="0"/>
              <w:spacing w:line="360" w:lineRule="auto"/>
              <w:ind w:left="556"/>
              <w:rPr>
                <w:rFonts w:hint="default"/>
                <w:sz w:val="24"/>
                <w:szCs w:val="24"/>
              </w:rPr>
            </w:pPr>
            <w:r>
              <w:rPr>
                <w:rFonts w:hint="default"/>
                <w:sz w:val="24"/>
                <w:szCs w:val="24"/>
              </w:rPr>
              <w:t>汽油</w:t>
            </w:r>
          </w:p>
        </w:tc>
        <w:tc>
          <w:tcPr>
            <w:tcW w:w="287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DCE8D8A">
            <w:pPr>
              <w:pStyle w:val="19"/>
              <w:kinsoku w:val="0"/>
              <w:overflowPunct w:val="0"/>
              <w:spacing w:line="360" w:lineRule="auto"/>
              <w:ind w:left="585"/>
              <w:rPr>
                <w:rFonts w:hint="default"/>
                <w:sz w:val="20"/>
                <w:szCs w:val="24"/>
              </w:rPr>
            </w:pPr>
            <w:r>
              <w:rPr>
                <w:rFonts w:hint="default"/>
                <w:sz w:val="20"/>
                <w:szCs w:val="24"/>
              </w:rPr>
              <w:drawing>
                <wp:inline distT="0" distB="0" distL="114300" distR="114300">
                  <wp:extent cx="516255" cy="466725"/>
                  <wp:effectExtent l="0" t="0" r="17145" b="952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8"/>
                          <a:stretch>
                            <a:fillRect/>
                          </a:stretch>
                        </pic:blipFill>
                        <pic:spPr>
                          <a:xfrm>
                            <a:off x="0" y="0"/>
                            <a:ext cx="516255" cy="466725"/>
                          </a:xfrm>
                          <a:prstGeom prst="rect">
                            <a:avLst/>
                          </a:prstGeom>
                          <a:noFill/>
                          <a:ln>
                            <a:noFill/>
                          </a:ln>
                        </pic:spPr>
                      </pic:pic>
                    </a:graphicData>
                  </a:graphic>
                </wp:inline>
              </w:drawing>
            </w:r>
          </w:p>
        </w:tc>
        <w:tc>
          <w:tcPr>
            <w:tcW w:w="28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A10AF6">
            <w:pPr>
              <w:pStyle w:val="19"/>
              <w:kinsoku w:val="0"/>
              <w:overflowPunct w:val="0"/>
              <w:spacing w:before="8" w:line="360" w:lineRule="auto"/>
              <w:rPr>
                <w:rFonts w:hint="default"/>
                <w:sz w:val="19"/>
                <w:szCs w:val="24"/>
              </w:rPr>
            </w:pPr>
          </w:p>
          <w:p w14:paraId="507AF305">
            <w:pPr>
              <w:pStyle w:val="19"/>
              <w:kinsoku w:val="0"/>
              <w:overflowPunct w:val="0"/>
              <w:spacing w:line="360" w:lineRule="auto"/>
              <w:ind w:left="553"/>
              <w:rPr>
                <w:rFonts w:hint="default"/>
                <w:sz w:val="24"/>
                <w:szCs w:val="24"/>
              </w:rPr>
            </w:pPr>
            <w:r>
              <w:rPr>
                <w:rFonts w:hint="default"/>
                <w:sz w:val="24"/>
                <w:szCs w:val="24"/>
              </w:rPr>
              <w:t>严禁携带</w:t>
            </w:r>
          </w:p>
        </w:tc>
      </w:tr>
      <w:tr w14:paraId="05E96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727" w:hRule="atLeast"/>
        </w:trPr>
        <w:tc>
          <w:tcPr>
            <w:tcW w:w="2816"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99C746D">
            <w:pPr>
              <w:pStyle w:val="19"/>
              <w:kinsoku w:val="0"/>
              <w:overflowPunct w:val="0"/>
              <w:spacing w:before="11" w:line="360" w:lineRule="auto"/>
              <w:rPr>
                <w:rFonts w:hint="default"/>
                <w:sz w:val="18"/>
                <w:szCs w:val="24"/>
              </w:rPr>
            </w:pPr>
          </w:p>
          <w:p w14:paraId="16CFEC1E">
            <w:pPr>
              <w:pStyle w:val="19"/>
              <w:kinsoku w:val="0"/>
              <w:overflowPunct w:val="0"/>
              <w:spacing w:before="1" w:line="360" w:lineRule="auto"/>
              <w:ind w:left="556"/>
              <w:rPr>
                <w:rFonts w:hint="default"/>
                <w:sz w:val="24"/>
                <w:szCs w:val="24"/>
              </w:rPr>
            </w:pPr>
            <w:r>
              <w:rPr>
                <w:rFonts w:hint="default"/>
                <w:sz w:val="24"/>
                <w:szCs w:val="24"/>
              </w:rPr>
              <w:t>有毒有害物</w:t>
            </w:r>
          </w:p>
        </w:tc>
        <w:tc>
          <w:tcPr>
            <w:tcW w:w="287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65217D">
            <w:pPr>
              <w:pStyle w:val="19"/>
              <w:kinsoku w:val="0"/>
              <w:overflowPunct w:val="0"/>
              <w:spacing w:before="11" w:after="1" w:line="360" w:lineRule="auto"/>
              <w:rPr>
                <w:rFonts w:hint="default"/>
                <w:sz w:val="7"/>
                <w:szCs w:val="24"/>
              </w:rPr>
            </w:pPr>
          </w:p>
          <w:p w14:paraId="48F78CFB">
            <w:pPr>
              <w:pStyle w:val="19"/>
              <w:kinsoku w:val="0"/>
              <w:overflowPunct w:val="0"/>
              <w:spacing w:line="360" w:lineRule="auto"/>
              <w:ind w:left="493"/>
              <w:rPr>
                <w:rFonts w:hint="default"/>
                <w:sz w:val="20"/>
                <w:szCs w:val="24"/>
              </w:rPr>
            </w:pPr>
            <w:r>
              <w:rPr>
                <w:rFonts w:hint="default"/>
                <w:sz w:val="20"/>
                <w:szCs w:val="24"/>
              </w:rPr>
              <w:drawing>
                <wp:inline distT="0" distB="0" distL="114300" distR="114300">
                  <wp:extent cx="708025" cy="364490"/>
                  <wp:effectExtent l="0" t="0" r="15875" b="1651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9"/>
                          <a:stretch>
                            <a:fillRect/>
                          </a:stretch>
                        </pic:blipFill>
                        <pic:spPr>
                          <a:xfrm>
                            <a:off x="0" y="0"/>
                            <a:ext cx="708025" cy="364490"/>
                          </a:xfrm>
                          <a:prstGeom prst="rect">
                            <a:avLst/>
                          </a:prstGeom>
                          <a:noFill/>
                          <a:ln>
                            <a:noFill/>
                          </a:ln>
                        </pic:spPr>
                      </pic:pic>
                    </a:graphicData>
                  </a:graphic>
                </wp:inline>
              </w:drawing>
            </w:r>
          </w:p>
        </w:tc>
        <w:tc>
          <w:tcPr>
            <w:tcW w:w="28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EDE525">
            <w:pPr>
              <w:pStyle w:val="19"/>
              <w:kinsoku w:val="0"/>
              <w:overflowPunct w:val="0"/>
              <w:spacing w:before="11" w:line="360" w:lineRule="auto"/>
              <w:rPr>
                <w:rFonts w:hint="default"/>
                <w:sz w:val="18"/>
                <w:szCs w:val="24"/>
              </w:rPr>
            </w:pPr>
          </w:p>
          <w:p w14:paraId="6F08E49D">
            <w:pPr>
              <w:pStyle w:val="19"/>
              <w:kinsoku w:val="0"/>
              <w:overflowPunct w:val="0"/>
              <w:spacing w:before="1" w:line="360" w:lineRule="auto"/>
              <w:ind w:left="553"/>
              <w:rPr>
                <w:rFonts w:hint="default"/>
                <w:sz w:val="24"/>
                <w:szCs w:val="24"/>
              </w:rPr>
            </w:pPr>
            <w:r>
              <w:rPr>
                <w:rFonts w:hint="default"/>
                <w:sz w:val="24"/>
                <w:szCs w:val="24"/>
              </w:rPr>
              <w:t>严禁携带</w:t>
            </w:r>
          </w:p>
        </w:tc>
      </w:tr>
    </w:tbl>
    <w:p w14:paraId="42BA722D">
      <w:pPr>
        <w:pStyle w:val="2"/>
        <w:spacing w:beforeLines="0" w:afterLines="0"/>
        <w:rPr>
          <w:rFonts w:hint="default" w:ascii="宋体" w:hAnsi="宋体"/>
          <w:b/>
          <w:spacing w:val="-6"/>
          <w:sz w:val="28"/>
          <w:szCs w:val="28"/>
        </w:rPr>
      </w:pPr>
    </w:p>
    <w:p w14:paraId="7A4944F6">
      <w:pPr>
        <w:pStyle w:val="7"/>
        <w:kinsoku w:val="0"/>
        <w:overflowPunct w:val="0"/>
        <w:spacing w:line="360" w:lineRule="auto"/>
        <w:ind w:firstLine="480" w:firstLineChars="200"/>
        <w:rPr>
          <w:rFonts w:hint="default"/>
          <w:sz w:val="24"/>
          <w:szCs w:val="24"/>
        </w:rPr>
      </w:pPr>
    </w:p>
    <w:p w14:paraId="483EEB54">
      <w:pPr>
        <w:pStyle w:val="3"/>
        <w:numPr>
          <w:ilvl w:val="0"/>
          <w:numId w:val="1"/>
        </w:numPr>
        <w:ind w:left="258"/>
        <w:rPr>
          <w:rFonts w:hint="default"/>
          <w:sz w:val="32"/>
          <w:szCs w:val="24"/>
        </w:rPr>
      </w:pPr>
      <w:bookmarkStart w:id="91" w:name="_Toc85"/>
      <w:bookmarkStart w:id="92" w:name="_Toc18818"/>
      <w:bookmarkStart w:id="93" w:name="_Toc87011412"/>
      <w:bookmarkStart w:id="94" w:name="_Toc1380"/>
      <w:bookmarkStart w:id="95" w:name="_Toc1318"/>
      <w:r>
        <w:rPr>
          <w:rFonts w:hint="default"/>
          <w:sz w:val="32"/>
          <w:szCs w:val="24"/>
        </w:rPr>
        <w:t>健康、安全和环保要求</w:t>
      </w:r>
      <w:bookmarkEnd w:id="91"/>
      <w:bookmarkEnd w:id="92"/>
      <w:bookmarkEnd w:id="93"/>
      <w:bookmarkEnd w:id="94"/>
      <w:bookmarkEnd w:id="95"/>
      <w:r>
        <w:rPr>
          <w:rFonts w:hint="default"/>
          <w:sz w:val="32"/>
          <w:szCs w:val="24"/>
        </w:rPr>
        <w:t xml:space="preserve"> </w:t>
      </w:r>
    </w:p>
    <w:p w14:paraId="216E37DF">
      <w:pPr>
        <w:pStyle w:val="4"/>
        <w:ind w:left="0" w:firstLine="562" w:firstLineChars="200"/>
        <w:rPr>
          <w:rFonts w:hint="default" w:cs="Times New Roman"/>
          <w:sz w:val="28"/>
          <w:szCs w:val="28"/>
          <w:lang w:val="en-US" w:eastAsia="zh-CN"/>
        </w:rPr>
      </w:pPr>
      <w:bookmarkStart w:id="96" w:name="_Toc87011413"/>
      <w:bookmarkStart w:id="97" w:name="_Toc5693"/>
      <w:bookmarkStart w:id="98" w:name="_Toc29294"/>
      <w:bookmarkStart w:id="99" w:name="_Toc13808"/>
      <w:r>
        <w:rPr>
          <w:rFonts w:hint="default" w:cs="Times New Roman"/>
          <w:sz w:val="28"/>
          <w:szCs w:val="28"/>
          <w:lang w:val="en-US" w:eastAsia="zh-CN"/>
        </w:rPr>
        <w:t>（一）赛场预案</w:t>
      </w:r>
      <w:bookmarkEnd w:id="96"/>
      <w:bookmarkEnd w:id="97"/>
      <w:bookmarkEnd w:id="98"/>
      <w:bookmarkEnd w:id="99"/>
    </w:p>
    <w:p w14:paraId="43FFD5CB">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为防范比赛时安全事故发生，维护正常的比赛秩序，保证大赛按时、安全、有序完成，制定以下赛场应急预案。</w:t>
      </w:r>
    </w:p>
    <w:p w14:paraId="5A2D717C">
      <w:pPr>
        <w:widowControl/>
        <w:ind w:firstLine="372" w:firstLineChars="200"/>
        <w:jc w:val="both"/>
        <w:textAlignment w:val="baseline"/>
        <w:rPr>
          <w:rFonts w:hint="default" w:cs="宋体"/>
          <w:spacing w:val="-12"/>
          <w:sz w:val="21"/>
          <w:szCs w:val="21"/>
          <w:lang w:val="en-US" w:eastAsia="zh-CN"/>
        </w:rPr>
      </w:pPr>
      <w:bookmarkStart w:id="100" w:name="_Toc135467076"/>
      <w:bookmarkStart w:id="101" w:name="_Toc135436601"/>
      <w:bookmarkStart w:id="102" w:name="_Toc135424239"/>
      <w:bookmarkStart w:id="103" w:name="_Toc135429303"/>
      <w:r>
        <w:rPr>
          <w:rFonts w:hint="default" w:cs="宋体"/>
          <w:spacing w:val="-12"/>
          <w:sz w:val="21"/>
          <w:szCs w:val="21"/>
          <w:lang w:val="en-US" w:eastAsia="zh-CN"/>
        </w:rPr>
        <w:t>1.设备工具毁坏事件应急预案</w:t>
      </w:r>
    </w:p>
    <w:p w14:paraId="27EFBAA6">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竞赛现场依据“场地设备”与“选手可自备的工具”清单配备2套完整的工具与2个工位备用，应对临时工位与设备出现意外，同时在裁判区备用一套完整工具设备。</w:t>
      </w:r>
    </w:p>
    <w:p w14:paraId="38BFAB40">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2.电源保障预案</w:t>
      </w:r>
    </w:p>
    <w:p w14:paraId="433E9554">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（1）承办单位事先协调当地供电部门，保证竞赛当天的正常供电；赛场双路供电。备用 UPS双保障，以保证赛场正常供电。</w:t>
      </w:r>
    </w:p>
    <w:p w14:paraId="4612BB3B">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（2）竞赛过程中出现设备掉电、故障等意外时，裁判组需及时确认情况，安排技术支持人员进行处理，裁判组登记详细情况，填写补时登记表，报裁判长批准后，可安排延长补足相应选手的比赛时间。</w:t>
      </w:r>
    </w:p>
    <w:p w14:paraId="11D5483A">
      <w:pPr>
        <w:widowControl/>
        <w:ind w:firstLine="372" w:firstLineChars="200"/>
        <w:jc w:val="both"/>
        <w:textAlignment w:val="baseline"/>
        <w:rPr>
          <w:rFonts w:hint="default" w:cs="宋体"/>
          <w:spacing w:val="-12"/>
          <w:sz w:val="21"/>
          <w:szCs w:val="21"/>
          <w:lang w:val="en-US" w:eastAsia="zh-CN"/>
        </w:rPr>
      </w:pPr>
      <w:bookmarkStart w:id="104" w:name="（四）计算机保障预案"/>
      <w:bookmarkEnd w:id="104"/>
      <w:r>
        <w:rPr>
          <w:rFonts w:hint="default" w:cs="宋体"/>
          <w:spacing w:val="-12"/>
          <w:sz w:val="21"/>
          <w:szCs w:val="21"/>
          <w:lang w:val="en-US" w:eastAsia="zh-CN"/>
        </w:rPr>
        <w:t>3.计算机保障预案</w:t>
      </w:r>
    </w:p>
    <w:p w14:paraId="77AB53C9">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计算机设备在本赛项中用于统分、材料打印。需预留 1 套备用电脑及设备，当出现设备掉电、故障等意外时，由赛场技术支持人员予以及时处理或更换。</w:t>
      </w:r>
    </w:p>
    <w:p w14:paraId="5ECCD58D">
      <w:pPr>
        <w:widowControl/>
        <w:ind w:firstLine="372" w:firstLineChars="200"/>
        <w:jc w:val="both"/>
        <w:textAlignment w:val="baseline"/>
        <w:rPr>
          <w:rFonts w:hint="default" w:cs="宋体"/>
          <w:spacing w:val="-12"/>
          <w:sz w:val="21"/>
          <w:szCs w:val="21"/>
          <w:lang w:val="en-US" w:eastAsia="zh-CN"/>
        </w:rPr>
      </w:pPr>
      <w:bookmarkStart w:id="105" w:name="（五）突发受伤医疗服务应急预案"/>
      <w:bookmarkEnd w:id="105"/>
      <w:r>
        <w:rPr>
          <w:rFonts w:hint="default" w:cs="宋体"/>
          <w:spacing w:val="-12"/>
          <w:sz w:val="21"/>
          <w:szCs w:val="21"/>
          <w:lang w:val="en-US" w:eastAsia="zh-CN"/>
        </w:rPr>
        <w:t>4.突发受伤医疗服务应急预案</w:t>
      </w:r>
    </w:p>
    <w:p w14:paraId="118FE912">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选手比赛中可能出现头晕、恶心、呕吐、出血等各种意外，配备现场医疗服务队，轻者在现场进行处理，重者转移至医疗服务区进行处理，严重者送往医院救治。</w:t>
      </w:r>
    </w:p>
    <w:p w14:paraId="6A77B896">
      <w:pPr>
        <w:widowControl/>
        <w:ind w:firstLine="372" w:firstLineChars="200"/>
        <w:jc w:val="both"/>
        <w:textAlignment w:val="baseline"/>
        <w:rPr>
          <w:rFonts w:hint="default" w:cs="宋体"/>
          <w:spacing w:val="-12"/>
          <w:sz w:val="21"/>
          <w:szCs w:val="21"/>
          <w:lang w:val="en-US" w:eastAsia="zh-CN"/>
        </w:rPr>
      </w:pPr>
      <w:bookmarkStart w:id="106" w:name="（六）疫情防控预案"/>
      <w:bookmarkEnd w:id="106"/>
      <w:bookmarkStart w:id="107" w:name="（七）其他重大事故预案"/>
      <w:bookmarkEnd w:id="107"/>
      <w:r>
        <w:rPr>
          <w:rFonts w:hint="default" w:cs="宋体"/>
          <w:spacing w:val="-12"/>
          <w:sz w:val="21"/>
          <w:szCs w:val="21"/>
          <w:lang w:val="en-US" w:eastAsia="zh-CN"/>
        </w:rPr>
        <w:t>5.其他重大事故预案</w:t>
      </w:r>
    </w:p>
    <w:p w14:paraId="01746162">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bookmarkEnd w:id="100"/>
      <w:bookmarkEnd w:id="101"/>
      <w:bookmarkEnd w:id="102"/>
      <w:bookmarkEnd w:id="103"/>
    </w:p>
    <w:p w14:paraId="22C8D569">
      <w:pPr>
        <w:pStyle w:val="2"/>
        <w:spacing w:beforeLines="0" w:afterLines="0"/>
        <w:rPr>
          <w:rFonts w:hint="default" w:ascii="宋体"/>
          <w:sz w:val="21"/>
          <w:szCs w:val="22"/>
        </w:rPr>
      </w:pPr>
    </w:p>
    <w:p w14:paraId="20C9BD1F">
      <w:pPr>
        <w:pStyle w:val="4"/>
        <w:ind w:left="0" w:firstLine="562" w:firstLineChars="200"/>
        <w:rPr>
          <w:rFonts w:hint="default" w:cs="Times New Roman"/>
          <w:sz w:val="28"/>
          <w:szCs w:val="28"/>
          <w:lang w:val="en-US" w:eastAsia="zh-CN"/>
        </w:rPr>
      </w:pPr>
      <w:bookmarkStart w:id="108" w:name="_Toc110"/>
      <w:bookmarkStart w:id="109" w:name="_Toc28196"/>
      <w:r>
        <w:rPr>
          <w:rFonts w:hint="default" w:cs="Times New Roman"/>
          <w:sz w:val="28"/>
          <w:szCs w:val="28"/>
          <w:lang w:val="en-US" w:eastAsia="zh-CN"/>
        </w:rPr>
        <w:t>（二）赛项安全</w:t>
      </w:r>
      <w:bookmarkEnd w:id="108"/>
      <w:bookmarkEnd w:id="109"/>
    </w:p>
    <w:p w14:paraId="02B2DDAB">
      <w:pPr>
        <w:pStyle w:val="5"/>
        <w:spacing w:before="0" w:after="0" w:line="240" w:lineRule="auto"/>
        <w:ind w:firstLine="422" w:firstLineChars="200"/>
        <w:rPr>
          <w:rFonts w:hint="default"/>
          <w:sz w:val="21"/>
          <w:szCs w:val="24"/>
          <w:lang w:val="en-US" w:eastAsia="zh-CN"/>
        </w:rPr>
      </w:pPr>
      <w:bookmarkStart w:id="110" w:name="_Toc8819"/>
      <w:bookmarkStart w:id="111" w:name="_Toc16199"/>
      <w:bookmarkStart w:id="112" w:name="_Toc3013"/>
      <w:bookmarkStart w:id="113" w:name="_Toc21277"/>
      <w:r>
        <w:rPr>
          <w:rFonts w:hint="default"/>
          <w:sz w:val="21"/>
          <w:szCs w:val="24"/>
          <w:lang w:val="en-US" w:eastAsia="zh-CN"/>
        </w:rPr>
        <w:t>1.选手安全防护要求</w:t>
      </w:r>
      <w:bookmarkEnd w:id="110"/>
      <w:bookmarkEnd w:id="111"/>
      <w:bookmarkEnd w:id="112"/>
    </w:p>
    <w:p w14:paraId="186D6E46">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（1）选手需自备安全鞋、工作服、护目镜等（不得有单位标识），进入比赛区域前必须将工作服、安全鞋穿戴得当（不穿戴工作服、安全鞋的选手不得进入赛场，女选手长发不得外露）。</w:t>
      </w:r>
    </w:p>
    <w:p w14:paraId="3A140630">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（2）在使用剥线钳剥线、锯割线槽及导轨时必须佩戴防护镜， 防止眼睛受到伤害。</w:t>
      </w:r>
    </w:p>
    <w:p w14:paraId="19646371">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（3）任何时候，参赛选手不得带电修改电气线路。</w:t>
      </w:r>
    </w:p>
    <w:p w14:paraId="20B2C729">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（4）禁止使用刀具及刃口超过 10cm 带尖的剪刀以免受伤。</w:t>
      </w:r>
    </w:p>
    <w:p w14:paraId="039A32FB">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（5）不允许使用线槽剪。 </w:t>
      </w:r>
    </w:p>
    <w:p w14:paraId="232F23EC">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（6）所有选手必须确保自己的材料不会影响到其他选手。</w:t>
      </w:r>
    </w:p>
    <w:p w14:paraId="714BB78D">
      <w:pPr>
        <w:pStyle w:val="7"/>
        <w:autoSpaceDE/>
        <w:autoSpaceDN/>
        <w:adjustRightInd/>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（7）禁止携带酒精、汽油、防锈清洗剂等有毒有害易燃物品。</w:t>
      </w:r>
    </w:p>
    <w:p w14:paraId="27B829E0">
      <w:pPr>
        <w:pStyle w:val="5"/>
        <w:spacing w:before="0" w:after="0" w:line="240" w:lineRule="auto"/>
        <w:ind w:firstLine="422" w:firstLineChars="200"/>
        <w:rPr>
          <w:rFonts w:hint="default" w:cs="Times New Roman"/>
          <w:sz w:val="21"/>
          <w:szCs w:val="21"/>
          <w:lang w:val="en-US" w:eastAsia="zh-CN"/>
        </w:rPr>
      </w:pPr>
      <w:bookmarkStart w:id="114" w:name="_Toc20380"/>
      <w:bookmarkStart w:id="115" w:name="_Toc11863"/>
      <w:bookmarkStart w:id="116" w:name="_Toc135429305"/>
      <w:bookmarkStart w:id="117" w:name="_Toc135424241"/>
      <w:bookmarkStart w:id="118" w:name="_Toc135436602"/>
      <w:bookmarkStart w:id="119" w:name="_Toc8395"/>
      <w:bookmarkStart w:id="120" w:name="_Toc135467077"/>
      <w:r>
        <w:rPr>
          <w:rFonts w:hint="default" w:cs="Times New Roman"/>
          <w:sz w:val="21"/>
          <w:szCs w:val="21"/>
          <w:lang w:val="en-US" w:eastAsia="zh-CN"/>
        </w:rPr>
        <w:t>2.赛事安全要求</w:t>
      </w:r>
      <w:bookmarkEnd w:id="114"/>
      <w:bookmarkEnd w:id="115"/>
    </w:p>
    <w:p w14:paraId="5AE65BA2">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（1）成立健康安全管理组，负责比赛过程选手的安全健康，如对选手进行安全教育、处理选手受伤、关心选手健康等。</w:t>
      </w:r>
    </w:p>
    <w:p w14:paraId="38EC2B7D">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2）协办单位应设置专门的安全防卫组，负责竞赛期间健康和安全事务。主要包括检查竞赛场地、与会人员居住地、车辆交通及其周围环境的安全防卫；制定紧急应对方案；督导竞赛场地用电、用气等相关安全问题；监督与会人员食品安全与卫生分析和处理安全突发事件等工作。在每天结束赛程后要有安全检查程序。</w:t>
      </w:r>
    </w:p>
    <w:p w14:paraId="517A46C0">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3）赛场周围要设立警戒线，防止无关人员进入发生意外事件。赛场设置警戒线及联网的监控体系，可对赛场进行24小时监控。比赛现场内应参照相关职业岗位的要求为选手提供必要的劳动保护。在具有危险性的操作环节，裁判员要严防选手出现错误操作。</w:t>
      </w:r>
    </w:p>
    <w:p w14:paraId="20AC9C76">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4）参赛选手进入赛场、赛事裁判工作人员进入工作场所，严禁携带通讯、照相摄录设备，禁止携带记录用具。如确有需要，由赛场统一配置、统一管理。禁止选手及所有参加赛事的人员携带任何有毒有害物品进入竞赛现场。赛项可根据需要配置安检设备对进入赛场重要部位的人员进行安检。</w:t>
      </w:r>
    </w:p>
    <w:p w14:paraId="359F25B6">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（5）需配备相应医务人员和心理指导老师，并备有相应医务箱。</w:t>
      </w:r>
    </w:p>
    <w:p w14:paraId="4A839D42">
      <w:pPr>
        <w:widowControl/>
        <w:ind w:firstLine="372" w:firstLineChars="200"/>
        <w:jc w:val="both"/>
        <w:textAlignment w:val="baseline"/>
        <w:rPr>
          <w:rFonts w:hint="default" w:cs="宋体"/>
          <w:spacing w:val="-12"/>
          <w:sz w:val="21"/>
          <w:szCs w:val="21"/>
          <w:lang w:val="en-US" w:eastAsia="zh-CN"/>
        </w:rPr>
      </w:pPr>
      <w:r>
        <w:rPr>
          <w:rFonts w:hint="default" w:cs="宋体"/>
          <w:spacing w:val="-12"/>
          <w:sz w:val="21"/>
          <w:szCs w:val="21"/>
          <w:lang w:val="en-US" w:eastAsia="zh-CN"/>
        </w:rPr>
        <w:t>（6）开展安全教育。赛前裁判长应宣读竞赛规则、安全注意事项，裁判员、选手应严格遵守设备安全操作规程，参赛前接受系统的职业安全教育。</w:t>
      </w:r>
    </w:p>
    <w:bookmarkEnd w:id="113"/>
    <w:bookmarkEnd w:id="116"/>
    <w:bookmarkEnd w:id="117"/>
    <w:bookmarkEnd w:id="118"/>
    <w:bookmarkEnd w:id="119"/>
    <w:bookmarkEnd w:id="120"/>
    <w:p w14:paraId="264F976C">
      <w:pPr>
        <w:pStyle w:val="4"/>
        <w:ind w:left="0" w:firstLine="562" w:firstLineChars="200"/>
        <w:rPr>
          <w:rFonts w:hint="default" w:cs="Times New Roman"/>
          <w:sz w:val="28"/>
          <w:szCs w:val="28"/>
          <w:lang w:val="en-US" w:eastAsia="zh-CN"/>
        </w:rPr>
      </w:pPr>
      <w:bookmarkStart w:id="121" w:name="_Toc8232"/>
      <w:bookmarkStart w:id="122" w:name="_Toc20765"/>
      <w:bookmarkStart w:id="123" w:name="_Toc25008"/>
      <w:bookmarkStart w:id="124" w:name="_Toc10671"/>
      <w:r>
        <w:rPr>
          <w:rFonts w:hint="default" w:cs="Times New Roman"/>
          <w:sz w:val="28"/>
          <w:szCs w:val="28"/>
          <w:lang w:val="en-US" w:eastAsia="zh-CN"/>
        </w:rPr>
        <w:t>（三）绿色环保要求</w:t>
      </w:r>
      <w:bookmarkEnd w:id="121"/>
      <w:bookmarkEnd w:id="122"/>
      <w:bookmarkEnd w:id="123"/>
      <w:bookmarkEnd w:id="124"/>
    </w:p>
    <w:p w14:paraId="3F362E5B">
      <w:pPr>
        <w:pStyle w:val="7"/>
        <w:autoSpaceDE/>
        <w:autoSpaceDN/>
        <w:adjustRightInd/>
        <w:snapToGrid w:val="0"/>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1.赛场严格遵守我国环境保护法。</w:t>
      </w:r>
    </w:p>
    <w:p w14:paraId="6C698424">
      <w:pPr>
        <w:pStyle w:val="7"/>
        <w:autoSpaceDE/>
        <w:autoSpaceDN/>
        <w:adjustRightInd/>
        <w:snapToGrid w:val="0"/>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2.赛场所有废弃物应有效分类并处理，尽可能的回收利用。</w:t>
      </w:r>
    </w:p>
    <w:p w14:paraId="76A37D14">
      <w:pPr>
        <w:pStyle w:val="7"/>
        <w:autoSpaceDE/>
        <w:autoSpaceDN/>
        <w:adjustRightInd/>
        <w:snapToGrid w:val="0"/>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3.赛场还可设置排烟除尘系统，尽可能的减少和控制灰尘。</w:t>
      </w:r>
    </w:p>
    <w:p w14:paraId="692FE9D8">
      <w:pPr>
        <w:pStyle w:val="7"/>
        <w:autoSpaceDE/>
        <w:autoSpaceDN/>
        <w:adjustRightInd/>
        <w:snapToGrid w:val="0"/>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 xml:space="preserve">4.竞赛相关人员，要注意保持环境整洁卫生，垃圾集中存放。 </w:t>
      </w:r>
    </w:p>
    <w:p w14:paraId="48F56BD6">
      <w:pPr>
        <w:pStyle w:val="7"/>
        <w:autoSpaceDE/>
        <w:autoSpaceDN/>
        <w:adjustRightInd/>
        <w:snapToGrid w:val="0"/>
        <w:ind w:firstLine="382" w:firstLineChars="200"/>
        <w:jc w:val="both"/>
        <w:rPr>
          <w:rFonts w:hint="default" w:cs="宋体"/>
          <w:spacing w:val="-4"/>
          <w:w w:val="95"/>
          <w:sz w:val="21"/>
          <w:szCs w:val="21"/>
          <w:lang w:val="en-US" w:eastAsia="zh-CN"/>
        </w:rPr>
      </w:pPr>
      <w:r>
        <w:rPr>
          <w:rFonts w:hint="default" w:cs="宋体"/>
          <w:spacing w:val="-4"/>
          <w:w w:val="95"/>
          <w:sz w:val="21"/>
          <w:szCs w:val="21"/>
          <w:lang w:val="en-US" w:eastAsia="zh-CN"/>
        </w:rPr>
        <w:t>5.每场竞赛结束后，选手要做到工完场清，赛场保洁人员要保障赛场整体的环境卫生，体现安全、整洁、有序。</w:t>
      </w:r>
    </w:p>
    <w:p w14:paraId="04B5C9A3">
      <w:pPr>
        <w:pStyle w:val="7"/>
        <w:kinsoku w:val="0"/>
        <w:overflowPunct w:val="0"/>
        <w:snapToGrid w:val="0"/>
        <w:ind w:firstLine="480" w:firstLineChars="200"/>
        <w:jc w:val="both"/>
        <w:rPr>
          <w:rFonts w:hint="default"/>
          <w:sz w:val="24"/>
          <w:szCs w:val="24"/>
        </w:rPr>
      </w:pPr>
    </w:p>
    <w:sectPr>
      <w:pgSz w:w="11910" w:h="16840"/>
      <w:pgMar w:top="1460" w:right="1260" w:bottom="1240" w:left="1540" w:header="0" w:footer="1041"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D255B">
    <w:pPr>
      <w:pStyle w:val="7"/>
      <w:kinsoku w:val="0"/>
      <w:overflowPunct w:val="0"/>
      <w:spacing w:line="14" w:lineRule="auto"/>
      <w:rPr>
        <w:rFonts w:hint="default"/>
        <w:sz w:val="20"/>
        <w:szCs w:val="24"/>
      </w:rPr>
    </w:pPr>
    <w:r>
      <w:rPr>
        <w:rFonts w:hint="default"/>
        <w:sz w:val="20"/>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49C160">
                          <w:pPr>
                            <w:pStyle w:val="10"/>
                            <w:rPr>
                              <w:rFonts w:hint="default"/>
                              <w:sz w:val="18"/>
                              <w:szCs w:val="24"/>
                            </w:rPr>
                          </w:pPr>
                          <w:r>
                            <w:rPr>
                              <w:rFonts w:hint="default"/>
                              <w:sz w:val="18"/>
                              <w:szCs w:val="24"/>
                            </w:rPr>
                            <w:fldChar w:fldCharType="begin"/>
                          </w:r>
                          <w:r>
                            <w:rPr>
                              <w:rFonts w:hint="default"/>
                              <w:sz w:val="18"/>
                              <w:szCs w:val="24"/>
                            </w:rPr>
                            <w:instrText xml:space="preserve"> PAGE  \* MERGEFORMAT </w:instrText>
                          </w:r>
                          <w:r>
                            <w:rPr>
                              <w:rFonts w:hint="default"/>
                              <w:sz w:val="18"/>
                              <w:szCs w:val="24"/>
                            </w:rPr>
                            <w:fldChar w:fldCharType="separate"/>
                          </w:r>
                          <w:r>
                            <w:rPr>
                              <w:rFonts w:hint="default"/>
                              <w:sz w:val="18"/>
                              <w:szCs w:val="24"/>
                            </w:rPr>
                            <w:t>3</w:t>
                          </w:r>
                          <w:r>
                            <w:rPr>
                              <w:rFonts w:hint="default"/>
                              <w:sz w:val="18"/>
                              <w:szCs w:val="24"/>
                            </w:rPr>
                            <w:fldChar w:fldCharType="end"/>
                          </w:r>
                        </w:p>
                      </w:txbxContent>
                    </wps:txbx>
                    <wps:bodyPr vert="horz" wrap="none" lIns="0" tIns="0" rIns="0" bIns="0" anchor="t" anchorCtr="0" upright="1">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dxhnU3gEAAL4DAAAOAAAAAAAA&#10;AAEAIAAAAB4BAABkcnMvZTJvRG9jLnhtbFBLBQYAAAAABgAGAFkBAABuBQAAAAA=&#10;">
              <v:fill on="f" focussize="0,0"/>
              <v:stroke on="f"/>
              <v:imagedata o:title=""/>
              <o:lock v:ext="edit" aspectratio="f"/>
              <v:textbox inset="0mm,0mm,0mm,0mm" style="mso-fit-shape-to-text:t;">
                <w:txbxContent>
                  <w:p w14:paraId="7049C160">
                    <w:pPr>
                      <w:pStyle w:val="10"/>
                      <w:rPr>
                        <w:rFonts w:hint="default"/>
                        <w:sz w:val="18"/>
                        <w:szCs w:val="24"/>
                      </w:rPr>
                    </w:pPr>
                    <w:r>
                      <w:rPr>
                        <w:rFonts w:hint="default"/>
                        <w:sz w:val="18"/>
                        <w:szCs w:val="24"/>
                      </w:rPr>
                      <w:fldChar w:fldCharType="begin"/>
                    </w:r>
                    <w:r>
                      <w:rPr>
                        <w:rFonts w:hint="default"/>
                        <w:sz w:val="18"/>
                        <w:szCs w:val="24"/>
                      </w:rPr>
                      <w:instrText xml:space="preserve"> PAGE  \* MERGEFORMAT </w:instrText>
                    </w:r>
                    <w:r>
                      <w:rPr>
                        <w:rFonts w:hint="default"/>
                        <w:sz w:val="18"/>
                        <w:szCs w:val="24"/>
                      </w:rPr>
                      <w:fldChar w:fldCharType="separate"/>
                    </w:r>
                    <w:r>
                      <w:rPr>
                        <w:rFonts w:hint="default"/>
                        <w:sz w:val="18"/>
                        <w:szCs w:val="24"/>
                      </w:rPr>
                      <w:t>3</w:t>
                    </w:r>
                    <w:r>
                      <w:rPr>
                        <w:rFonts w:hint="default"/>
                        <w:sz w:val="18"/>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46470">
    <w:pPr>
      <w:pStyle w:val="11"/>
      <w:jc w:val="center"/>
      <w:rPr>
        <w:rFonts w:hint="default"/>
        <w:sz w:val="18"/>
        <w:szCs w:val="24"/>
        <w:lang w:val="en-US" w:eastAsia="zh-CN"/>
      </w:rPr>
    </w:pPr>
  </w:p>
  <w:p w14:paraId="69442DE8">
    <w:pPr>
      <w:pStyle w:val="11"/>
      <w:jc w:val="center"/>
      <w:rPr>
        <w:rFonts w:hint="default"/>
        <w:sz w:val="18"/>
        <w:szCs w:val="24"/>
        <w:lang w:val="en-US" w:eastAsia="zh-CN"/>
      </w:rPr>
    </w:pPr>
  </w:p>
  <w:p w14:paraId="293A533B">
    <w:pPr>
      <w:pStyle w:val="11"/>
      <w:jc w:val="center"/>
      <w:rPr>
        <w:rFonts w:hint="default"/>
        <w:sz w:val="18"/>
        <w:szCs w:val="24"/>
        <w:lang w:val="en-US" w:eastAsia="zh-CN"/>
      </w:rPr>
    </w:pPr>
  </w:p>
  <w:p w14:paraId="28A02719">
    <w:pPr>
      <w:pStyle w:val="11"/>
      <w:jc w:val="center"/>
      <w:rPr>
        <w:rFonts w:hint="default"/>
        <w:sz w:val="18"/>
        <w:szCs w:val="24"/>
        <w:lang w:val="en-US" w:eastAsia="zh-CN"/>
      </w:rPr>
    </w:pPr>
    <w:r>
      <w:rPr>
        <w:rFonts w:hint="default"/>
        <w:sz w:val="18"/>
        <w:szCs w:val="24"/>
        <w:lang w:val="en-US" w:eastAsia="zh-CN"/>
      </w:rPr>
      <w:t>第五届晋城职业技能大赛暨第七届职工职业技能大赛机电一体化项目技术文件</w:t>
    </w:r>
  </w:p>
  <w:p w14:paraId="39CA9371">
    <w:pPr>
      <w:pStyle w:val="11"/>
      <w:tabs>
        <w:tab w:val="left" w:pos="1183"/>
        <w:tab w:val="center" w:pos="4212"/>
      </w:tabs>
      <w:rPr>
        <w:rFonts w:hint="default"/>
        <w:sz w:val="1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56F69"/>
    <w:multiLevelType w:val="multilevel"/>
    <w:tmpl w:val="21C56F69"/>
    <w:lvl w:ilvl="0" w:tentative="0">
      <w:start w:val="3"/>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doNotCompress"/>
  <w:doNotValidateAgainstSchema/>
  <w:doNotDemarcateInvalidXml/>
  <w:hdrShapeDefaults>
    <o:shapelayout v:ext="edit">
      <o:idmap v:ext="edit" data="1"/>
    </o:shapelayout>
  </w:hdrShapeDefaults>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MDIyZmZiNGYyNzM5NjRkNDQ2ODBjNjZiM2U5YjEifQ=="/>
  </w:docVars>
  <w:rsids>
    <w:rsidRoot w:val="00172A27"/>
    <w:rsid w:val="22DB31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1" w:semiHidden="0" w:name="heading 2"/>
    <w:lsdException w:qFormat="1" w:uiPriority="99" w:semiHidden="0" w:name="heading 3"/>
    <w:lsdException w:qFormat="1"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iPriority="99" w:semiHidden="0" w:name="toc 1"/>
    <w:lsdException w:qFormat="1" w:uiPriority="99" w:semiHidden="0" w:name="toc 2"/>
    <w:lsdException w:qFormat="1"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qFormat="1" w:unhideWhenUsed="0" w:uiPriority="99" w:semiHidden="0" w:name="Light Shading"/>
    <w:lsdException w:qFormat="1" w:unhideWhenUsed="0" w:uiPriority="99" w:semiHidden="0" w:name="Light List"/>
    <w:lsdException w:qFormat="1" w:unhideWhenUsed="0" w:uiPriority="99" w:semiHidden="0" w:name="Light Grid"/>
    <w:lsdException w:qFormat="1" w:unhideWhenUsed="0" w:uiPriority="99" w:semiHidden="0" w:name="Medium Shading 1"/>
    <w:lsdException w:qFormat="1" w:unhideWhenUsed="0" w:uiPriority="99" w:semiHidden="0" w:name="Medium Shading 2"/>
    <w:lsdException w:qFormat="1" w:unhideWhenUsed="0" w:uiPriority="99" w:semiHidden="0" w:name="Medium List 1"/>
    <w:lsdException w:qFormat="1" w:unhideWhenUsed="0" w:uiPriority="99" w:semiHidden="0" w:name="Medium List 2"/>
    <w:lsdException w:qFormat="1" w:unhideWhenUsed="0" w:uiPriority="99" w:semiHidden="0" w:name="Medium Grid 1"/>
    <w:lsdException w:qFormat="1" w:unhideWhenUsed="0" w:uiPriority="99" w:semiHidden="0" w:name="Medium Grid 2"/>
    <w:lsdException w:qFormat="1" w:unhideWhenUsed="0" w:uiPriority="99" w:semiHidden="0" w:name="Medium Grid 3"/>
    <w:lsdException w:qFormat="1" w:unhideWhenUsed="0" w:uiPriority="99" w:semiHidden="0" w:name="Dark List"/>
    <w:lsdException w:qFormat="1" w:unhideWhenUsed="0" w:uiPriority="99" w:semiHidden="0" w:name="Colorful Shading"/>
    <w:lsdException w:qFormat="1" w:unhideWhenUsed="0" w:uiPriority="99" w:semiHidden="0" w:name="Colorful List"/>
    <w:lsdException w:qFormat="1" w:unhideWhenUsed="0" w:uiPriority="99" w:semiHidden="0" w:name="Colorful Grid"/>
    <w:lsdException w:qFormat="1" w:unhideWhenUsed="0" w:uiPriority="99" w:semiHidden="0" w:name="Light Shading Accent 1"/>
    <w:lsdException w:qFormat="1" w:unhideWhenUsed="0" w:uiPriority="99" w:semiHidden="0" w:name="Light List Accent 1"/>
    <w:lsdException w:qFormat="1" w:unhideWhenUsed="0" w:uiPriority="99" w:semiHidden="0" w:name="Light Grid Accent 1"/>
    <w:lsdException w:qFormat="1" w:unhideWhenUsed="0" w:uiPriority="99" w:semiHidden="0" w:name="Medium Shading 1 Accent 1"/>
    <w:lsdException w:qFormat="1" w:unhideWhenUsed="0" w:uiPriority="99" w:semiHidden="0" w:name="Medium Shading 2 Accent 1"/>
    <w:lsdException w:qFormat="1" w:unhideWhenUsed="0" w:uiPriority="99" w:semiHidden="0" w:name="Medium List 1 Accent 1"/>
    <w:lsdException w:qFormat="1" w:uiPriority="1" w:semiHidden="0" w:name="List Paragraph"/>
    <w:lsdException w:qFormat="1" w:unhideWhenUsed="0" w:uiPriority="99" w:semiHidden="0" w:name="Medium List 2 Accent 1"/>
    <w:lsdException w:qFormat="1" w:unhideWhenUsed="0" w:uiPriority="99" w:semiHidden="0" w:name="Medium Grid 1 Accent 1"/>
    <w:lsdException w:qFormat="1" w:unhideWhenUsed="0" w:uiPriority="99" w:semiHidden="0" w:name="Medium Grid 2 Accent 1"/>
    <w:lsdException w:qFormat="1" w:unhideWhenUsed="0" w:uiPriority="99" w:semiHidden="0" w:name="Medium Grid 3 Accent 1"/>
    <w:lsdException w:qFormat="1" w:unhideWhenUsed="0" w:uiPriority="99" w:semiHidden="0" w:name="Dark List Accent 1"/>
    <w:lsdException w:qFormat="1" w:unhideWhenUsed="0" w:uiPriority="99" w:semiHidden="0" w:name="Colorful Shading Accent 1"/>
    <w:lsdException w:qFormat="1" w:unhideWhenUsed="0" w:uiPriority="99" w:semiHidden="0" w:name="Colorful List Accent 1"/>
    <w:lsdException w:qFormat="1" w:unhideWhenUsed="0" w:uiPriority="99" w:semiHidden="0" w:name="Colorful Grid Accent 1"/>
    <w:lsdException w:qFormat="1" w:unhideWhenUsed="0" w:uiPriority="99" w:semiHidden="0" w:name="Light Shading Accent 2"/>
    <w:lsdException w:qFormat="1" w:unhideWhenUsed="0" w:uiPriority="99" w:semiHidden="0" w:name="Light List Accent 2"/>
    <w:lsdException w:qFormat="1" w:unhideWhenUsed="0" w:uiPriority="99" w:semiHidden="0" w:name="Light Grid Accent 2"/>
    <w:lsdException w:qFormat="1" w:unhideWhenUsed="0" w:uiPriority="99" w:semiHidden="0" w:name="Medium Shading 1 Accent 2"/>
    <w:lsdException w:qFormat="1" w:unhideWhenUsed="0" w:uiPriority="99" w:semiHidden="0" w:name="Medium Shading 2 Accent 2"/>
    <w:lsdException w:qFormat="1" w:unhideWhenUsed="0" w:uiPriority="99" w:semiHidden="0" w:name="Medium List 1 Accent 2"/>
    <w:lsdException w:qFormat="1" w:unhideWhenUsed="0" w:uiPriority="99" w:semiHidden="0" w:name="Medium List 2 Accent 2"/>
    <w:lsdException w:qFormat="1" w:unhideWhenUsed="0" w:uiPriority="99" w:semiHidden="0" w:name="Medium Grid 1 Accent 2"/>
    <w:lsdException w:qFormat="1" w:unhideWhenUsed="0" w:uiPriority="99" w:semiHidden="0" w:name="Medium Grid 2 Accent 2"/>
    <w:lsdException w:qFormat="1" w:unhideWhenUsed="0" w:uiPriority="99" w:semiHidden="0" w:name="Medium Grid 3 Accent 2"/>
    <w:lsdException w:qFormat="1" w:unhideWhenUsed="0" w:uiPriority="99" w:semiHidden="0" w:name="Dark List Accent 2"/>
    <w:lsdException w:qFormat="1" w:unhideWhenUsed="0" w:uiPriority="99" w:semiHidden="0" w:name="Colorful Shading Accent 2"/>
    <w:lsdException w:qFormat="1" w:unhideWhenUsed="0" w:uiPriority="99" w:semiHidden="0" w:name="Colorful List Accent 2"/>
    <w:lsdException w:qFormat="1" w:unhideWhenUsed="0" w:uiPriority="99" w:semiHidden="0" w:name="Colorful Grid Accent 2"/>
    <w:lsdException w:qFormat="1" w:unhideWhenUsed="0" w:uiPriority="99" w:semiHidden="0" w:name="Light Shading Accent 3"/>
    <w:lsdException w:qFormat="1" w:unhideWhenUsed="0" w:uiPriority="99" w:semiHidden="0" w:name="Light List Accent 3"/>
    <w:lsdException w:qFormat="1" w:unhideWhenUsed="0" w:uiPriority="99" w:semiHidden="0" w:name="Light Grid Accent 3"/>
    <w:lsdException w:qFormat="1" w:unhideWhenUsed="0" w:uiPriority="99" w:semiHidden="0" w:name="Medium Shading 1 Accent 3"/>
    <w:lsdException w:qFormat="1" w:unhideWhenUsed="0" w:uiPriority="99" w:semiHidden="0" w:name="Medium Shading 2 Accent 3"/>
    <w:lsdException w:qFormat="1" w:unhideWhenUsed="0" w:uiPriority="99" w:semiHidden="0" w:name="Medium List 1 Accent 3"/>
    <w:lsdException w:qFormat="1" w:unhideWhenUsed="0" w:uiPriority="99" w:semiHidden="0" w:name="Medium List 2 Accent 3"/>
    <w:lsdException w:qFormat="1" w:unhideWhenUsed="0" w:uiPriority="99" w:semiHidden="0" w:name="Medium Grid 1 Accent 3"/>
    <w:lsdException w:qFormat="1" w:unhideWhenUsed="0" w:uiPriority="99" w:semiHidden="0" w:name="Medium Grid 2 Accent 3"/>
    <w:lsdException w:qFormat="1" w:unhideWhenUsed="0" w:uiPriority="99" w:semiHidden="0" w:name="Medium Grid 3 Accent 3"/>
    <w:lsdException w:qFormat="1" w:unhideWhenUsed="0" w:uiPriority="99" w:semiHidden="0" w:name="Dark List Accent 3"/>
    <w:lsdException w:qFormat="1" w:unhideWhenUsed="0" w:uiPriority="99" w:semiHidden="0" w:name="Colorful Shading Accent 3"/>
    <w:lsdException w:qFormat="1" w:unhideWhenUsed="0" w:uiPriority="99" w:semiHidden="0" w:name="Colorful List Accent 3"/>
    <w:lsdException w:qFormat="1" w:unhideWhenUsed="0" w:uiPriority="99" w:semiHidden="0" w:name="Colorful Grid Accent 3"/>
    <w:lsdException w:qFormat="1" w:unhideWhenUsed="0" w:uiPriority="99" w:semiHidden="0" w:name="Light Shading Accent 4"/>
    <w:lsdException w:qFormat="1" w:unhideWhenUsed="0" w:uiPriority="99" w:semiHidden="0" w:name="Light List Accent 4"/>
    <w:lsdException w:qFormat="1" w:unhideWhenUsed="0" w:uiPriority="99" w:semiHidden="0" w:name="Light Grid Accent 4"/>
    <w:lsdException w:qFormat="1" w:unhideWhenUsed="0" w:uiPriority="99" w:semiHidden="0" w:name="Medium Shading 1 Accent 4"/>
    <w:lsdException w:qFormat="1" w:unhideWhenUsed="0" w:uiPriority="99" w:semiHidden="0" w:name="Medium Shading 2 Accent 4"/>
    <w:lsdException w:qFormat="1" w:unhideWhenUsed="0" w:uiPriority="99" w:semiHidden="0" w:name="Medium List 1 Accent 4"/>
    <w:lsdException w:qFormat="1" w:unhideWhenUsed="0" w:uiPriority="99" w:semiHidden="0" w:name="Medium List 2 Accent 4"/>
    <w:lsdException w:qFormat="1" w:unhideWhenUsed="0" w:uiPriority="99" w:semiHidden="0" w:name="Medium Grid 1 Accent 4"/>
    <w:lsdException w:qFormat="1" w:unhideWhenUsed="0" w:uiPriority="99" w:semiHidden="0" w:name="Medium Grid 2 Accent 4"/>
    <w:lsdException w:qFormat="1" w:unhideWhenUsed="0" w:uiPriority="99" w:semiHidden="0" w:name="Medium Grid 3 Accent 4"/>
    <w:lsdException w:qFormat="1" w:unhideWhenUsed="0" w:uiPriority="99" w:semiHidden="0" w:name="Dark List Accent 4"/>
    <w:lsdException w:qFormat="1" w:unhideWhenUsed="0" w:uiPriority="99" w:semiHidden="0" w:name="Colorful Shading Accent 4"/>
    <w:lsdException w:qFormat="1" w:unhideWhenUsed="0" w:uiPriority="99" w:semiHidden="0" w:name="Colorful List Accent 4"/>
    <w:lsdException w:qFormat="1" w:unhideWhenUsed="0" w:uiPriority="99" w:semiHidden="0" w:name="Colorful Grid Accent 4"/>
    <w:lsdException w:qFormat="1" w:unhideWhenUsed="0" w:uiPriority="99" w:semiHidden="0" w:name="Light Shading Accent 5"/>
    <w:lsdException w:qFormat="1" w:unhideWhenUsed="0" w:uiPriority="99" w:semiHidden="0" w:name="Light List Accent 5"/>
    <w:lsdException w:qFormat="1" w:unhideWhenUsed="0" w:uiPriority="99" w:semiHidden="0" w:name="Light Grid Accent 5"/>
    <w:lsdException w:qFormat="1" w:unhideWhenUsed="0" w:uiPriority="99" w:semiHidden="0" w:name="Medium Shading 1 Accent 5"/>
    <w:lsdException w:qFormat="1" w:unhideWhenUsed="0" w:uiPriority="99" w:semiHidden="0" w:name="Medium Shading 2 Accent 5"/>
    <w:lsdException w:qFormat="1" w:unhideWhenUsed="0" w:uiPriority="99" w:semiHidden="0" w:name="Medium List 1 Accent 5"/>
    <w:lsdException w:qFormat="1" w:unhideWhenUsed="0" w:uiPriority="99" w:semiHidden="0" w:name="Medium List 2 Accent 5"/>
    <w:lsdException w:qFormat="1" w:unhideWhenUsed="0" w:uiPriority="99" w:semiHidden="0" w:name="Medium Grid 1 Accent 5"/>
    <w:lsdException w:qFormat="1" w:unhideWhenUsed="0" w:uiPriority="99" w:semiHidden="0" w:name="Medium Grid 2 Accent 5"/>
    <w:lsdException w:qFormat="1" w:unhideWhenUsed="0" w:uiPriority="99" w:semiHidden="0" w:name="Medium Grid 3 Accent 5"/>
    <w:lsdException w:qFormat="1" w:unhideWhenUsed="0" w:uiPriority="99" w:semiHidden="0" w:name="Dark List Accent 5"/>
    <w:lsdException w:qFormat="1" w:unhideWhenUsed="0" w:uiPriority="99" w:semiHidden="0" w:name="Colorful Shading Accent 5"/>
    <w:lsdException w:qFormat="1" w:unhideWhenUsed="0" w:uiPriority="99" w:semiHidden="0" w:name="Colorful List Accent 5"/>
    <w:lsdException w:qFormat="1" w:unhideWhenUsed="0" w:uiPriority="99" w:semiHidden="0" w:name="Colorful Grid Accent 5"/>
    <w:lsdException w:qFormat="1" w:unhideWhenUsed="0" w:uiPriority="99" w:semiHidden="0" w:name="Light Shading Accent 6"/>
    <w:lsdException w:qFormat="1" w:unhideWhenUsed="0" w:uiPriority="99" w:semiHidden="0" w:name="Light List Accent 6"/>
    <w:lsdException w:qFormat="1" w:unhideWhenUsed="0" w:uiPriority="99" w:semiHidden="0" w:name="Light Grid Accent 6"/>
    <w:lsdException w:qFormat="1" w:unhideWhenUsed="0" w:uiPriority="99" w:semiHidden="0" w:name="Medium Shading 1 Accent 6"/>
    <w:lsdException w:qFormat="1" w:unhideWhenUsed="0" w:uiPriority="99" w:semiHidden="0" w:name="Medium Shading 2 Accent 6"/>
    <w:lsdException w:qFormat="1" w:unhideWhenUsed="0" w:uiPriority="99" w:semiHidden="0" w:name="Medium List 1 Accent 6"/>
    <w:lsdException w:qFormat="1" w:unhideWhenUsed="0" w:uiPriority="99" w:semiHidden="0" w:name="Medium List 2 Accent 6"/>
    <w:lsdException w:qFormat="1" w:unhideWhenUsed="0" w:uiPriority="99" w:semiHidden="0" w:name="Medium Grid 1 Accent 6"/>
    <w:lsdException w:qFormat="1" w:unhideWhenUsed="0" w:uiPriority="99" w:semiHidden="0" w:name="Medium Grid 2 Accent 6"/>
    <w:lsdException w:qFormat="1" w:unhideWhenUsed="0" w:uiPriority="99" w:semiHidden="0" w:name="Medium Grid 3 Accent 6"/>
    <w:lsdException w:qFormat="1" w:unhideWhenUsed="0" w:uiPriority="99" w:semiHidden="0" w:name="Dark List Accent 6"/>
    <w:lsdException w:qFormat="1" w:unhideWhenUsed="0" w:uiPriority="99" w:semiHidden="0" w:name="Colorful Shading Accent 6"/>
    <w:lsdException w:qFormat="1" w:unhideWhenUsed="0" w:uiPriority="99" w:semiHidden="0" w:name="Colorful List Accent 6"/>
    <w:lsdException w:qFormat="1" w:unhideWhenUsed="0" w:uiPriority="99" w:semiHidden="0" w:name="Colorful Grid Accent 6"/>
  </w:latentStyles>
  <w:style w:type="paragraph" w:default="1" w:styleId="1">
    <w:name w:val="Normal"/>
    <w:next w:val="2"/>
    <w:unhideWhenUsed/>
    <w:qFormat/>
    <w:uiPriority w:val="1"/>
    <w:pPr>
      <w:widowControl w:val="0"/>
      <w:autoSpaceDE w:val="0"/>
      <w:autoSpaceDN w:val="0"/>
      <w:adjustRightInd w:val="0"/>
    </w:pPr>
    <w:rPr>
      <w:rFonts w:hint="default" w:ascii="宋体" w:hAnsi="宋体" w:eastAsia="宋体"/>
      <w:sz w:val="22"/>
      <w:szCs w:val="24"/>
    </w:rPr>
  </w:style>
  <w:style w:type="paragraph" w:styleId="3">
    <w:name w:val="heading 1"/>
    <w:basedOn w:val="1"/>
    <w:unhideWhenUsed/>
    <w:qFormat/>
    <w:uiPriority w:val="1"/>
    <w:pPr>
      <w:ind w:left="258"/>
      <w:outlineLvl w:val="0"/>
    </w:pPr>
    <w:rPr>
      <w:rFonts w:hint="default"/>
      <w:b/>
      <w:sz w:val="44"/>
      <w:szCs w:val="24"/>
    </w:rPr>
  </w:style>
  <w:style w:type="paragraph" w:styleId="4">
    <w:name w:val="heading 2"/>
    <w:basedOn w:val="1"/>
    <w:next w:val="1"/>
    <w:unhideWhenUsed/>
    <w:qFormat/>
    <w:uiPriority w:val="1"/>
    <w:pPr>
      <w:ind w:left="824" w:hanging="566"/>
      <w:outlineLvl w:val="1"/>
    </w:pPr>
    <w:rPr>
      <w:rFonts w:hint="default"/>
      <w:b/>
      <w:sz w:val="32"/>
      <w:szCs w:val="24"/>
    </w:rPr>
  </w:style>
  <w:style w:type="paragraph" w:styleId="5">
    <w:name w:val="heading 3"/>
    <w:basedOn w:val="1"/>
    <w:next w:val="1"/>
    <w:unhideWhenUsed/>
    <w:qFormat/>
    <w:uiPriority w:val="99"/>
    <w:pPr>
      <w:keepNext/>
      <w:keepLines/>
      <w:spacing w:before="260" w:after="260" w:line="413" w:lineRule="auto"/>
      <w:outlineLvl w:val="2"/>
    </w:pPr>
    <w:rPr>
      <w:rFonts w:hint="default"/>
      <w:b/>
      <w:sz w:val="32"/>
      <w:szCs w:val="24"/>
    </w:rPr>
  </w:style>
  <w:style w:type="paragraph" w:styleId="6">
    <w:name w:val="heading 4"/>
    <w:basedOn w:val="1"/>
    <w:next w:val="1"/>
    <w:unhideWhenUsed/>
    <w:qFormat/>
    <w:uiPriority w:val="99"/>
    <w:pPr>
      <w:keepNext/>
      <w:keepLines/>
      <w:spacing w:before="280" w:after="290" w:line="372" w:lineRule="auto"/>
      <w:outlineLvl w:val="3"/>
    </w:pPr>
    <w:rPr>
      <w:rFonts w:hint="eastAsia" w:ascii="Arial" w:hAnsi="Arial" w:eastAsia="黑体"/>
      <w:b/>
      <w:sz w:val="28"/>
      <w:szCs w:val="24"/>
    </w:rPr>
  </w:style>
  <w:style w:type="character" w:default="1" w:styleId="16">
    <w:name w:val="Default Paragraph Font"/>
    <w:unhideWhenUsed/>
    <w:uiPriority w:val="99"/>
    <w:rPr>
      <w:rFonts w:hint="default"/>
      <w:sz w:val="24"/>
      <w:szCs w:val="24"/>
    </w:rPr>
  </w:style>
  <w:style w:type="table" w:default="1" w:styleId="15">
    <w:name w:val="Normal Table"/>
    <w:qFormat/>
    <w:uiPriority w:val="99"/>
    <w:tblPr>
      <w:tblCellMar>
        <w:top w:w="0" w:type="dxa"/>
        <w:left w:w="108" w:type="dxa"/>
        <w:bottom w:w="0" w:type="dxa"/>
        <w:right w:w="108" w:type="dxa"/>
      </w:tblCellMar>
    </w:tblPr>
  </w:style>
  <w:style w:type="paragraph" w:customStyle="1" w:styleId="2">
    <w:name w:val="_Style 3"/>
    <w:unhideWhenUsed/>
    <w:qFormat/>
    <w:uiPriority w:val="0"/>
    <w:pPr>
      <w:widowControl w:val="0"/>
      <w:spacing w:beforeLines="0" w:afterLines="0"/>
      <w:jc w:val="both"/>
    </w:pPr>
    <w:rPr>
      <w:rFonts w:hint="default" w:ascii="Calibri" w:hAnsi="Calibri" w:eastAsia="宋体" w:cs="Times New Roman"/>
      <w:kern w:val="2"/>
      <w:sz w:val="21"/>
      <w:szCs w:val="22"/>
      <w:lang w:val="en-US" w:eastAsia="zh-CN" w:bidi="ar-SA"/>
    </w:rPr>
  </w:style>
  <w:style w:type="paragraph" w:styleId="7">
    <w:name w:val="Body Text"/>
    <w:basedOn w:val="1"/>
    <w:unhideWhenUsed/>
    <w:qFormat/>
    <w:uiPriority w:val="1"/>
    <w:rPr>
      <w:rFonts w:hint="default"/>
      <w:sz w:val="24"/>
      <w:szCs w:val="24"/>
    </w:rPr>
  </w:style>
  <w:style w:type="paragraph" w:styleId="8">
    <w:name w:val="toc 3"/>
    <w:basedOn w:val="1"/>
    <w:next w:val="1"/>
    <w:unhideWhenUsed/>
    <w:qFormat/>
    <w:uiPriority w:val="99"/>
    <w:pPr>
      <w:ind w:left="840" w:leftChars="400"/>
    </w:pPr>
    <w:rPr>
      <w:rFonts w:hint="default"/>
      <w:sz w:val="22"/>
      <w:szCs w:val="24"/>
    </w:rPr>
  </w:style>
  <w:style w:type="paragraph" w:styleId="9">
    <w:name w:val="Body Text Indent 2"/>
    <w:basedOn w:val="1"/>
    <w:unhideWhenUsed/>
    <w:qFormat/>
    <w:uiPriority w:val="99"/>
    <w:pPr>
      <w:spacing w:after="120" w:line="480" w:lineRule="auto"/>
      <w:ind w:left="420" w:leftChars="200"/>
    </w:pPr>
    <w:rPr>
      <w:rFonts w:hint="default"/>
      <w:sz w:val="22"/>
      <w:szCs w:val="24"/>
    </w:rPr>
  </w:style>
  <w:style w:type="paragraph" w:styleId="10">
    <w:name w:val="footer"/>
    <w:basedOn w:val="1"/>
    <w:unhideWhenUsed/>
    <w:qFormat/>
    <w:uiPriority w:val="99"/>
    <w:pPr>
      <w:tabs>
        <w:tab w:val="center" w:pos="4153"/>
        <w:tab w:val="right" w:pos="8306"/>
      </w:tabs>
      <w:snapToGrid w:val="0"/>
    </w:pPr>
    <w:rPr>
      <w:rFonts w:hint="default"/>
      <w:sz w:val="18"/>
      <w:szCs w:val="24"/>
    </w:rPr>
  </w:style>
  <w:style w:type="paragraph" w:styleId="11">
    <w:name w:val="header"/>
    <w:basedOn w:val="1"/>
    <w:unhideWhenUsed/>
    <w:qFormat/>
    <w:uiPriority w:val="99"/>
    <w:pPr>
      <w:tabs>
        <w:tab w:val="center" w:pos="4153"/>
        <w:tab w:val="right" w:pos="8306"/>
      </w:tabs>
      <w:snapToGrid w:val="0"/>
    </w:pPr>
    <w:rPr>
      <w:rFonts w:hint="default"/>
      <w:sz w:val="18"/>
      <w:szCs w:val="24"/>
    </w:rPr>
  </w:style>
  <w:style w:type="paragraph" w:styleId="12">
    <w:name w:val="toc 1"/>
    <w:basedOn w:val="1"/>
    <w:next w:val="1"/>
    <w:unhideWhenUsed/>
    <w:qFormat/>
    <w:uiPriority w:val="99"/>
    <w:rPr>
      <w:rFonts w:hint="default"/>
      <w:sz w:val="22"/>
      <w:szCs w:val="24"/>
    </w:rPr>
  </w:style>
  <w:style w:type="paragraph" w:styleId="13">
    <w:name w:val="toc 2"/>
    <w:basedOn w:val="1"/>
    <w:next w:val="1"/>
    <w:unhideWhenUsed/>
    <w:qFormat/>
    <w:uiPriority w:val="99"/>
    <w:pPr>
      <w:ind w:left="420" w:leftChars="200"/>
    </w:pPr>
    <w:rPr>
      <w:rFonts w:hint="default"/>
      <w:sz w:val="22"/>
      <w:szCs w:val="24"/>
    </w:rPr>
  </w:style>
  <w:style w:type="paragraph" w:styleId="14">
    <w:name w:val="Body Text First Indent"/>
    <w:basedOn w:val="7"/>
    <w:unhideWhenUsed/>
    <w:qFormat/>
    <w:uiPriority w:val="99"/>
    <w:pPr>
      <w:ind w:firstLine="420" w:firstLineChars="100"/>
    </w:pPr>
    <w:rPr>
      <w:rFonts w:hint="default"/>
      <w:sz w:val="24"/>
      <w:szCs w:val="24"/>
    </w:rPr>
  </w:style>
  <w:style w:type="paragraph" w:styleId="17">
    <w:name w:val="List Paragraph"/>
    <w:basedOn w:val="1"/>
    <w:unhideWhenUsed/>
    <w:qFormat/>
    <w:uiPriority w:val="1"/>
    <w:pPr>
      <w:spacing w:before="190"/>
      <w:ind w:left="723" w:hanging="566"/>
    </w:pPr>
    <w:rPr>
      <w:rFonts w:hint="eastAsia" w:ascii="黑体" w:hAnsi="黑体" w:eastAsia="黑体"/>
      <w:sz w:val="24"/>
      <w:szCs w:val="24"/>
    </w:rPr>
  </w:style>
  <w:style w:type="paragraph" w:customStyle="1" w:styleId="18">
    <w:name w:val="Table Text"/>
    <w:basedOn w:val="1"/>
    <w:unhideWhenUsed/>
    <w:qFormat/>
    <w:uiPriority w:val="0"/>
    <w:rPr>
      <w:rFonts w:hint="default" w:ascii="Arial" w:hAnsi="Arial" w:cs="Arial"/>
      <w:sz w:val="21"/>
      <w:szCs w:val="21"/>
      <w:lang w:val="en-US" w:eastAsia="en-US" w:bidi="ar-SA"/>
    </w:rPr>
  </w:style>
  <w:style w:type="paragraph" w:customStyle="1" w:styleId="19">
    <w:name w:val="Table Paragraph"/>
    <w:basedOn w:val="1"/>
    <w:unhideWhenUsed/>
    <w:qFormat/>
    <w:uiPriority w:val="1"/>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2961</Words>
  <Characters>3034</Characters>
  <TotalTime>4</TotalTime>
  <ScaleCrop>false</ScaleCrop>
  <LinksUpToDate>false</LinksUpToDate>
  <CharactersWithSpaces>3094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2025-07-23T04:01:43Z</dcterms:created>
  <dc:creator>le</dc:creator>
  <cp:lastModifiedBy>木叶</cp:lastModifiedBy>
  <dcterms:modified xsi:type="dcterms:W3CDTF">2025-07-23T04:06:46Z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324DA7C956494EBE995B737FBF5C94EB_12</vt:lpwstr>
  </property>
</Properties>
</file>