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C8B5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b/>
          <w:color w:val="auto"/>
          <w:sz w:val="44"/>
          <w:szCs w:val="44"/>
          <w:u w:val="none"/>
          <w:lang w:val="en-US" w:eastAsia="zh-CN"/>
        </w:rPr>
      </w:pPr>
      <w:r>
        <w:rPr>
          <w:rFonts w:hint="eastAsia" w:ascii="宋体" w:hAnsi="宋体" w:eastAsia="宋体" w:cs="宋体"/>
          <w:b/>
          <w:bCs w:val="0"/>
          <w:color w:val="auto"/>
          <w:sz w:val="44"/>
          <w:szCs w:val="44"/>
          <w:u w:val="none"/>
          <w:lang w:val="en-US" w:eastAsia="zh-CN"/>
        </w:rPr>
        <w:t>第五届晋城</w:t>
      </w:r>
      <w:r>
        <w:rPr>
          <w:rFonts w:hint="eastAsia" w:ascii="宋体" w:hAnsi="宋体" w:eastAsia="宋体" w:cs="宋体"/>
          <w:b/>
          <w:color w:val="auto"/>
          <w:sz w:val="44"/>
          <w:szCs w:val="44"/>
          <w:u w:val="none"/>
          <w:lang w:val="en-US" w:eastAsia="zh-CN"/>
        </w:rPr>
        <w:t>职业技能大赛暨</w:t>
      </w:r>
    </w:p>
    <w:p w14:paraId="785F58DF">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bCs/>
          <w:color w:val="auto"/>
          <w:spacing w:val="-6"/>
          <w:sz w:val="44"/>
          <w:szCs w:val="44"/>
        </w:rPr>
      </w:pPr>
      <w:r>
        <w:rPr>
          <w:rFonts w:hint="eastAsia" w:ascii="宋体" w:hAnsi="宋体" w:eastAsia="宋体" w:cs="宋体"/>
          <w:b/>
          <w:color w:val="auto"/>
          <w:sz w:val="44"/>
          <w:szCs w:val="44"/>
          <w:u w:val="none"/>
          <w:lang w:val="en-US" w:eastAsia="zh-CN"/>
        </w:rPr>
        <w:t>第七届职工职业技能大赛</w:t>
      </w:r>
    </w:p>
    <w:p w14:paraId="149AF00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b/>
          <w:bCs/>
          <w:color w:val="auto"/>
          <w:spacing w:val="-6"/>
          <w:sz w:val="44"/>
          <w:szCs w:val="44"/>
        </w:rPr>
      </w:pPr>
      <w:r>
        <w:rPr>
          <w:rFonts w:hint="eastAsia" w:ascii="宋体" w:hAnsi="宋体" w:cs="宋体"/>
          <w:b/>
          <w:bCs/>
          <w:color w:val="auto"/>
          <w:spacing w:val="-6"/>
          <w:sz w:val="44"/>
          <w:szCs w:val="44"/>
          <w:lang w:val="en-US" w:eastAsia="zh-CN"/>
        </w:rPr>
        <w:t>瓦斯检查工</w:t>
      </w:r>
      <w:r>
        <w:rPr>
          <w:rFonts w:hint="eastAsia" w:ascii="宋体" w:hAnsi="宋体" w:eastAsia="宋体" w:cs="宋体"/>
          <w:b/>
          <w:bCs/>
          <w:color w:val="auto"/>
          <w:spacing w:val="-6"/>
          <w:sz w:val="44"/>
          <w:szCs w:val="44"/>
        </w:rPr>
        <w:t>项目</w:t>
      </w:r>
    </w:p>
    <w:p w14:paraId="4A873A4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b/>
          <w:bCs/>
          <w:color w:val="auto"/>
          <w:spacing w:val="-6"/>
          <w:sz w:val="44"/>
          <w:szCs w:val="44"/>
        </w:rPr>
      </w:pPr>
    </w:p>
    <w:p w14:paraId="13741FA5">
      <w:pPr>
        <w:pStyle w:val="13"/>
        <w:keepNext w:val="0"/>
        <w:keepLines w:val="0"/>
        <w:pageBreakBefore w:val="0"/>
        <w:widowControl w:val="0"/>
        <w:kinsoku/>
        <w:wordWrap/>
        <w:overflowPunct/>
        <w:topLinePunct w:val="0"/>
        <w:autoSpaceDE w:val="0"/>
        <w:autoSpaceDN w:val="0"/>
        <w:bidi w:val="0"/>
        <w:rPr>
          <w:rFonts w:hint="eastAsia" w:ascii="宋体" w:hAnsi="宋体" w:eastAsia="宋体" w:cs="宋体"/>
          <w:b/>
          <w:bCs/>
          <w:color w:val="auto"/>
          <w:spacing w:val="-6"/>
          <w:sz w:val="44"/>
          <w:szCs w:val="44"/>
        </w:rPr>
      </w:pPr>
    </w:p>
    <w:p w14:paraId="60A7CF91">
      <w:pPr>
        <w:pStyle w:val="13"/>
        <w:keepNext w:val="0"/>
        <w:keepLines w:val="0"/>
        <w:pageBreakBefore w:val="0"/>
        <w:widowControl w:val="0"/>
        <w:kinsoku/>
        <w:wordWrap/>
        <w:overflowPunct/>
        <w:topLinePunct w:val="0"/>
        <w:autoSpaceDE w:val="0"/>
        <w:autoSpaceDN w:val="0"/>
        <w:bidi w:val="0"/>
        <w:rPr>
          <w:rFonts w:hint="eastAsia" w:ascii="宋体" w:hAnsi="宋体" w:eastAsia="宋体" w:cs="宋体"/>
          <w:b/>
          <w:bCs/>
          <w:color w:val="auto"/>
          <w:spacing w:val="-6"/>
          <w:sz w:val="44"/>
          <w:szCs w:val="44"/>
        </w:rPr>
      </w:pPr>
    </w:p>
    <w:p w14:paraId="39BA9CEA">
      <w:pPr>
        <w:pStyle w:val="13"/>
        <w:keepNext w:val="0"/>
        <w:keepLines w:val="0"/>
        <w:pageBreakBefore w:val="0"/>
        <w:widowControl w:val="0"/>
        <w:kinsoku/>
        <w:wordWrap/>
        <w:overflowPunct/>
        <w:topLinePunct w:val="0"/>
        <w:autoSpaceDE w:val="0"/>
        <w:autoSpaceDN w:val="0"/>
        <w:bidi w:val="0"/>
        <w:rPr>
          <w:rFonts w:hint="eastAsia" w:ascii="宋体" w:hAnsi="宋体" w:eastAsia="宋体" w:cs="宋体"/>
          <w:b/>
          <w:bCs/>
          <w:color w:val="auto"/>
          <w:spacing w:val="-6"/>
          <w:sz w:val="44"/>
          <w:szCs w:val="44"/>
        </w:rPr>
      </w:pPr>
    </w:p>
    <w:p w14:paraId="5C586647">
      <w:pPr>
        <w:pStyle w:val="13"/>
        <w:keepNext w:val="0"/>
        <w:keepLines w:val="0"/>
        <w:pageBreakBefore w:val="0"/>
        <w:widowControl w:val="0"/>
        <w:kinsoku/>
        <w:wordWrap/>
        <w:overflowPunct/>
        <w:topLinePunct w:val="0"/>
        <w:autoSpaceDE w:val="0"/>
        <w:autoSpaceDN w:val="0"/>
        <w:bidi w:val="0"/>
        <w:rPr>
          <w:rFonts w:hint="eastAsia" w:ascii="宋体" w:hAnsi="宋体" w:eastAsia="宋体" w:cs="宋体"/>
          <w:b/>
          <w:bCs/>
          <w:color w:val="auto"/>
          <w:spacing w:val="-6"/>
          <w:sz w:val="44"/>
          <w:szCs w:val="44"/>
        </w:rPr>
      </w:pPr>
    </w:p>
    <w:p w14:paraId="3DB5FAD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b/>
          <w:bCs/>
          <w:color w:val="auto"/>
          <w:spacing w:val="-6"/>
          <w:sz w:val="44"/>
          <w:szCs w:val="44"/>
        </w:rPr>
      </w:pPr>
      <w:r>
        <w:rPr>
          <w:rFonts w:hint="eastAsia" w:ascii="宋体" w:hAnsi="宋体" w:eastAsia="宋体" w:cs="宋体"/>
          <w:b/>
          <w:bCs/>
          <w:color w:val="auto"/>
          <w:spacing w:val="-6"/>
          <w:sz w:val="44"/>
          <w:szCs w:val="44"/>
        </w:rPr>
        <w:t>技</w:t>
      </w:r>
    </w:p>
    <w:p w14:paraId="3E2227E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b/>
          <w:bCs/>
          <w:color w:val="auto"/>
          <w:spacing w:val="-6"/>
          <w:sz w:val="44"/>
          <w:szCs w:val="44"/>
        </w:rPr>
      </w:pPr>
      <w:r>
        <w:rPr>
          <w:rFonts w:hint="eastAsia" w:ascii="宋体" w:hAnsi="宋体" w:eastAsia="宋体" w:cs="宋体"/>
          <w:b/>
          <w:bCs/>
          <w:color w:val="auto"/>
          <w:spacing w:val="-6"/>
          <w:sz w:val="44"/>
          <w:szCs w:val="44"/>
        </w:rPr>
        <w:t>术</w:t>
      </w:r>
    </w:p>
    <w:p w14:paraId="3E19335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b/>
          <w:bCs/>
          <w:color w:val="auto"/>
          <w:spacing w:val="-6"/>
          <w:sz w:val="44"/>
          <w:szCs w:val="44"/>
        </w:rPr>
      </w:pPr>
      <w:r>
        <w:rPr>
          <w:rFonts w:hint="eastAsia" w:ascii="宋体" w:hAnsi="宋体" w:eastAsia="宋体" w:cs="宋体"/>
          <w:b/>
          <w:bCs/>
          <w:color w:val="auto"/>
          <w:spacing w:val="-6"/>
          <w:sz w:val="44"/>
          <w:szCs w:val="44"/>
        </w:rPr>
        <w:t>文</w:t>
      </w:r>
    </w:p>
    <w:p w14:paraId="7B58726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b/>
          <w:bCs/>
          <w:color w:val="auto"/>
          <w:spacing w:val="-6"/>
          <w:sz w:val="44"/>
          <w:szCs w:val="44"/>
        </w:rPr>
      </w:pPr>
      <w:r>
        <w:rPr>
          <w:rFonts w:hint="eastAsia" w:ascii="宋体" w:hAnsi="宋体" w:eastAsia="宋体" w:cs="宋体"/>
          <w:b/>
          <w:bCs/>
          <w:color w:val="auto"/>
          <w:spacing w:val="-6"/>
          <w:sz w:val="44"/>
          <w:szCs w:val="44"/>
        </w:rPr>
        <w:t>件</w:t>
      </w:r>
    </w:p>
    <w:p w14:paraId="60E2640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华文中宋" w:hAnsi="华文中宋" w:eastAsia="华文中宋" w:cs="华文中宋"/>
          <w:b/>
          <w:bCs/>
          <w:color w:val="auto"/>
          <w:spacing w:val="-6"/>
          <w:sz w:val="52"/>
          <w:szCs w:val="52"/>
        </w:rPr>
      </w:pPr>
    </w:p>
    <w:p w14:paraId="71F9851D">
      <w:pPr>
        <w:pStyle w:val="10"/>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textAlignment w:val="auto"/>
        <w:rPr>
          <w:b/>
          <w:bCs/>
          <w:color w:val="auto"/>
          <w:spacing w:val="-6"/>
          <w:sz w:val="44"/>
          <w:szCs w:val="44"/>
        </w:rPr>
      </w:pPr>
    </w:p>
    <w:p w14:paraId="542304E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宋体"/>
          <w:b/>
          <w:bCs/>
          <w:color w:val="auto"/>
          <w:spacing w:val="-6"/>
          <w:sz w:val="32"/>
          <w:szCs w:val="32"/>
          <w:u w:val="single"/>
        </w:rPr>
      </w:pPr>
    </w:p>
    <w:p w14:paraId="51775FB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宋体"/>
          <w:b/>
          <w:bCs/>
          <w:color w:val="auto"/>
          <w:spacing w:val="-6"/>
          <w:sz w:val="36"/>
          <w:szCs w:val="36"/>
        </w:rPr>
      </w:pPr>
    </w:p>
    <w:p w14:paraId="00AAC1D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b w:val="0"/>
          <w:bCs w:val="0"/>
          <w:color w:val="auto"/>
          <w:spacing w:val="-6"/>
          <w:sz w:val="36"/>
          <w:szCs w:val="36"/>
          <w:lang w:val="en-US" w:eastAsia="zh-CN"/>
        </w:rPr>
      </w:pPr>
    </w:p>
    <w:p w14:paraId="48E605F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b w:val="0"/>
          <w:bCs w:val="0"/>
          <w:color w:val="auto"/>
          <w:spacing w:val="-6"/>
          <w:sz w:val="36"/>
          <w:szCs w:val="36"/>
          <w:lang w:val="en-US" w:eastAsia="zh-CN"/>
        </w:rPr>
      </w:pPr>
    </w:p>
    <w:p w14:paraId="7493508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b w:val="0"/>
          <w:bCs w:val="0"/>
          <w:color w:val="auto"/>
          <w:spacing w:val="-6"/>
          <w:sz w:val="36"/>
          <w:szCs w:val="36"/>
          <w:lang w:val="en-US" w:eastAsia="zh-CN"/>
        </w:rPr>
      </w:pPr>
    </w:p>
    <w:p w14:paraId="7DAEC479">
      <w:pPr>
        <w:pStyle w:val="13"/>
        <w:keepNext w:val="0"/>
        <w:keepLines w:val="0"/>
        <w:pageBreakBefore w:val="0"/>
        <w:widowControl w:val="0"/>
        <w:kinsoku/>
        <w:wordWrap/>
        <w:overflowPunct/>
        <w:topLinePunct w:val="0"/>
        <w:autoSpaceDE w:val="0"/>
        <w:autoSpaceDN w:val="0"/>
        <w:bidi w:val="0"/>
        <w:rPr>
          <w:rFonts w:hint="eastAsia" w:ascii="宋体" w:hAnsi="宋体"/>
          <w:b w:val="0"/>
          <w:bCs w:val="0"/>
          <w:color w:val="auto"/>
          <w:spacing w:val="-6"/>
          <w:sz w:val="36"/>
          <w:szCs w:val="36"/>
          <w:lang w:val="en-US" w:eastAsia="zh-CN"/>
        </w:rPr>
      </w:pPr>
    </w:p>
    <w:p w14:paraId="12466E6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b w:val="0"/>
          <w:bCs w:val="0"/>
          <w:color w:val="auto"/>
          <w:spacing w:val="-6"/>
          <w:sz w:val="36"/>
          <w:szCs w:val="36"/>
          <w:lang w:val="en-US" w:eastAsia="zh-CN"/>
        </w:rPr>
      </w:pPr>
    </w:p>
    <w:p w14:paraId="50561F2A">
      <w:pPr>
        <w:pStyle w:val="4"/>
        <w:keepNext w:val="0"/>
        <w:keepLines w:val="0"/>
        <w:pageBreakBefore w:val="0"/>
        <w:widowControl w:val="0"/>
        <w:kinsoku/>
        <w:wordWrap/>
        <w:overflowPunct/>
        <w:topLinePunct w:val="0"/>
        <w:autoSpaceDE w:val="0"/>
        <w:autoSpaceDN w:val="0"/>
        <w:bidi w:val="0"/>
        <w:adjustRightInd w:val="0"/>
        <w:snapToGrid w:val="0"/>
        <w:spacing w:after="0" w:line="240" w:lineRule="auto"/>
        <w:ind w:firstLine="0" w:firstLineChars="0"/>
        <w:textAlignment w:val="auto"/>
        <w:rPr>
          <w:rFonts w:hint="eastAsia"/>
          <w:color w:val="auto"/>
          <w:lang w:val="en-US" w:eastAsia="zh-CN"/>
        </w:rPr>
      </w:pPr>
    </w:p>
    <w:p w14:paraId="01FB1D2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b/>
          <w:bCs/>
          <w:color w:val="auto"/>
          <w:spacing w:val="-6"/>
          <w:sz w:val="44"/>
          <w:szCs w:val="44"/>
          <w:lang w:val="en-US" w:eastAsia="zh-CN"/>
        </w:rPr>
      </w:pPr>
      <w:r>
        <w:rPr>
          <w:rFonts w:hint="eastAsia" w:ascii="宋体" w:hAnsi="宋体" w:eastAsia="宋体" w:cs="宋体"/>
          <w:b/>
          <w:bCs/>
          <w:color w:val="auto"/>
          <w:spacing w:val="-6"/>
          <w:sz w:val="44"/>
          <w:szCs w:val="44"/>
          <w:lang w:eastAsia="zh-CN"/>
        </w:rPr>
        <w:t>晋城</w:t>
      </w:r>
      <w:r>
        <w:rPr>
          <w:rFonts w:hint="eastAsia" w:ascii="宋体" w:hAnsi="宋体" w:eastAsia="宋体" w:cs="宋体"/>
          <w:b/>
          <w:bCs/>
          <w:color w:val="auto"/>
          <w:spacing w:val="-6"/>
          <w:sz w:val="44"/>
          <w:szCs w:val="44"/>
        </w:rPr>
        <w:t>职业技能大赛</w:t>
      </w:r>
      <w:r>
        <w:rPr>
          <w:rFonts w:hint="eastAsia" w:ascii="宋体" w:hAnsi="宋体" w:eastAsia="宋体" w:cs="宋体"/>
          <w:b/>
          <w:bCs/>
          <w:color w:val="auto"/>
          <w:spacing w:val="-6"/>
          <w:sz w:val="44"/>
          <w:szCs w:val="44"/>
          <w:lang w:val="en-US" w:eastAsia="zh-CN"/>
        </w:rPr>
        <w:t>组委会</w:t>
      </w:r>
    </w:p>
    <w:p w14:paraId="6EB9243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b/>
          <w:bCs/>
          <w:color w:val="auto"/>
          <w:spacing w:val="-6"/>
          <w:sz w:val="44"/>
          <w:szCs w:val="44"/>
        </w:rPr>
        <w:sectPr>
          <w:footerReference r:id="rId5" w:type="first"/>
          <w:headerReference r:id="rId3" w:type="default"/>
          <w:footerReference r:id="rId4" w:type="default"/>
          <w:pgSz w:w="11906" w:h="16838"/>
          <w:pgMar w:top="1440" w:right="1417" w:bottom="1440" w:left="1417" w:header="851" w:footer="992" w:gutter="0"/>
          <w:pgNumType w:fmt="decimal" w:start="1"/>
          <w:cols w:space="425" w:num="1"/>
          <w:titlePg/>
          <w:docGrid w:type="lines" w:linePitch="312" w:charSpace="0"/>
        </w:sectPr>
      </w:pPr>
      <w:r>
        <w:rPr>
          <w:rFonts w:hint="eastAsia" w:ascii="宋体" w:hAnsi="宋体" w:eastAsia="宋体" w:cs="宋体"/>
          <w:b/>
          <w:bCs/>
          <w:color w:val="auto"/>
          <w:spacing w:val="-6"/>
          <w:sz w:val="44"/>
          <w:szCs w:val="44"/>
        </w:rPr>
        <w:t>202</w:t>
      </w:r>
      <w:r>
        <w:rPr>
          <w:rFonts w:hint="eastAsia" w:ascii="宋体" w:hAnsi="宋体" w:eastAsia="宋体" w:cs="宋体"/>
          <w:b/>
          <w:bCs/>
          <w:color w:val="auto"/>
          <w:spacing w:val="-6"/>
          <w:sz w:val="44"/>
          <w:szCs w:val="44"/>
          <w:lang w:val="en-US" w:eastAsia="zh-CN"/>
        </w:rPr>
        <w:t>5</w:t>
      </w:r>
      <w:r>
        <w:rPr>
          <w:rFonts w:hint="eastAsia" w:ascii="宋体" w:hAnsi="宋体" w:eastAsia="宋体" w:cs="宋体"/>
          <w:b/>
          <w:bCs/>
          <w:color w:val="auto"/>
          <w:spacing w:val="-6"/>
          <w:sz w:val="44"/>
          <w:szCs w:val="44"/>
        </w:rPr>
        <w:t>年</w:t>
      </w:r>
      <w:r>
        <w:rPr>
          <w:rFonts w:hint="eastAsia" w:ascii="宋体" w:hAnsi="宋体" w:eastAsia="宋体" w:cs="宋体"/>
          <w:b/>
          <w:bCs/>
          <w:color w:val="auto"/>
          <w:spacing w:val="-6"/>
          <w:sz w:val="44"/>
          <w:szCs w:val="44"/>
          <w:lang w:val="en-US" w:eastAsia="zh-CN"/>
        </w:rPr>
        <w:t>7</w:t>
      </w:r>
      <w:r>
        <w:rPr>
          <w:rFonts w:hint="eastAsia" w:ascii="宋体" w:hAnsi="宋体" w:eastAsia="宋体" w:cs="宋体"/>
          <w:b/>
          <w:bCs/>
          <w:color w:val="auto"/>
          <w:spacing w:val="-6"/>
          <w:sz w:val="44"/>
          <w:szCs w:val="44"/>
        </w:rPr>
        <w:t>月</w:t>
      </w:r>
    </w:p>
    <w:p w14:paraId="44788AFC">
      <w:pPr>
        <w:pStyle w:val="7"/>
        <w:keepNext w:val="0"/>
        <w:keepLines w:val="0"/>
        <w:pageBreakBefore w:val="0"/>
        <w:widowControl w:val="0"/>
        <w:tabs>
          <w:tab w:val="right" w:leader="dot" w:pos="8306"/>
        </w:tabs>
        <w:kinsoku/>
        <w:wordWrap/>
        <w:overflowPunct/>
        <w:topLinePunct w:val="0"/>
        <w:autoSpaceDE w:val="0"/>
        <w:autoSpaceDN w:val="0"/>
        <w:bidi w:val="0"/>
        <w:adjustRightInd w:val="0"/>
        <w:snapToGrid w:val="0"/>
        <w:spacing w:line="240" w:lineRule="auto"/>
        <w:ind w:firstLine="619" w:firstLineChars="200"/>
        <w:jc w:val="center"/>
        <w:rPr>
          <w:b w:val="0"/>
          <w:bCs/>
          <w:color w:val="auto"/>
          <w:spacing w:val="-6"/>
          <w:sz w:val="32"/>
          <w:szCs w:val="32"/>
        </w:rPr>
      </w:pPr>
      <w:r>
        <w:rPr>
          <w:rFonts w:hint="eastAsia"/>
          <w:bCs/>
          <w:color w:val="auto"/>
          <w:spacing w:val="-6"/>
          <w:sz w:val="32"/>
          <w:szCs w:val="32"/>
        </w:rPr>
        <w:t>目</w:t>
      </w:r>
      <w:r>
        <w:rPr>
          <w:bCs/>
          <w:color w:val="auto"/>
          <w:spacing w:val="-6"/>
          <w:sz w:val="32"/>
          <w:szCs w:val="32"/>
        </w:rPr>
        <w:t xml:space="preserve"> </w:t>
      </w:r>
      <w:r>
        <w:rPr>
          <w:rFonts w:hint="eastAsia"/>
          <w:bCs/>
          <w:color w:val="auto"/>
          <w:spacing w:val="-6"/>
          <w:sz w:val="32"/>
          <w:szCs w:val="32"/>
        </w:rPr>
        <w:t>录</w:t>
      </w:r>
    </w:p>
    <w:p w14:paraId="61381B42">
      <w:pPr>
        <w:pStyle w:val="9"/>
        <w:keepNext w:val="0"/>
        <w:keepLines w:val="0"/>
        <w:pageBreakBefore w:val="0"/>
        <w:widowControl w:val="0"/>
        <w:tabs>
          <w:tab w:val="right" w:leader="dot" w:pos="8306"/>
        </w:tabs>
        <w:kinsoku/>
        <w:wordWrap/>
        <w:overflowPunct/>
        <w:topLinePunct w:val="0"/>
        <w:autoSpaceDE w:val="0"/>
        <w:autoSpaceDN w:val="0"/>
        <w:bidi w:val="0"/>
        <w:adjustRightInd w:val="0"/>
        <w:snapToGrid w:val="0"/>
        <w:spacing w:line="240" w:lineRule="auto"/>
        <w:ind w:firstLine="396" w:firstLineChars="200"/>
        <w:rPr>
          <w:color w:val="auto"/>
          <w:spacing w:val="-6"/>
          <w:szCs w:val="52"/>
        </w:rPr>
      </w:pPr>
      <w:r>
        <w:rPr>
          <w:color w:val="auto"/>
          <w:spacing w:val="-6"/>
          <w:szCs w:val="52"/>
        </w:rPr>
        <w:fldChar w:fldCharType="begin"/>
      </w:r>
      <w:r>
        <w:rPr>
          <w:color w:val="auto"/>
          <w:spacing w:val="-6"/>
          <w:szCs w:val="52"/>
        </w:rPr>
        <w:instrText xml:space="preserve"> TOC \o "1-2" \h \z \u </w:instrText>
      </w:r>
      <w:r>
        <w:rPr>
          <w:color w:val="auto"/>
          <w:spacing w:val="-6"/>
          <w:szCs w:val="52"/>
        </w:rPr>
        <w:fldChar w:fldCharType="separate"/>
      </w:r>
    </w:p>
    <w:sdt>
      <w:sdtPr>
        <w:rPr>
          <w:rFonts w:ascii="宋体" w:hAnsi="宋体" w:eastAsia="宋体" w:cs="Times New Roman"/>
          <w:color w:val="auto"/>
          <w:spacing w:val="-6"/>
          <w:kern w:val="2"/>
          <w:sz w:val="21"/>
          <w:szCs w:val="24"/>
          <w:lang w:val="en-US" w:eastAsia="zh-CN" w:bidi="ar-SA"/>
        </w:rPr>
        <w:id w:val="147474211"/>
        <w15:color w:val="DBDBDB"/>
        <w:docPartObj>
          <w:docPartGallery w:val="Table of Contents"/>
          <w:docPartUnique/>
        </w:docPartObj>
      </w:sdtPr>
      <w:sdtEndPr>
        <w:rPr>
          <w:rFonts w:ascii="Times New Roman" w:hAnsi="Times New Roman" w:eastAsia="宋体" w:cs="Times New Roman"/>
          <w:color w:val="auto"/>
          <w:spacing w:val="-6"/>
          <w:kern w:val="2"/>
          <w:sz w:val="21"/>
          <w:szCs w:val="24"/>
          <w:lang w:val="en-US" w:eastAsia="zh-CN" w:bidi="ar-SA"/>
        </w:rPr>
      </w:sdtEndPr>
      <w:sdtContent>
        <w:p w14:paraId="7C5172B5">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396" w:firstLineChars="200"/>
            <w:jc w:val="center"/>
            <w:rPr>
              <w:color w:val="auto"/>
              <w:spacing w:val="-6"/>
            </w:rPr>
          </w:pPr>
        </w:p>
        <w:p w14:paraId="40C0CEDE">
          <w:pPr>
            <w:pStyle w:val="7"/>
            <w:keepNext w:val="0"/>
            <w:keepLines w:val="0"/>
            <w:pageBreakBefore w:val="0"/>
            <w:widowControl w:val="0"/>
            <w:tabs>
              <w:tab w:val="right" w:leader="dot" w:pos="8306"/>
            </w:tabs>
            <w:kinsoku/>
            <w:wordWrap/>
            <w:overflowPunct/>
            <w:topLinePunct w:val="0"/>
            <w:autoSpaceDE w:val="0"/>
            <w:autoSpaceDN w:val="0"/>
            <w:bidi w:val="0"/>
            <w:adjustRightInd w:val="0"/>
            <w:snapToGrid w:val="0"/>
            <w:spacing w:line="240" w:lineRule="auto"/>
            <w:ind w:firstLine="398" w:firstLineChars="200"/>
            <w:rPr>
              <w:rFonts w:hint="eastAsia" w:ascii="黑体" w:hAnsi="黑体" w:eastAsia="黑体" w:cs="黑体"/>
              <w:b/>
              <w:bCs w:val="0"/>
              <w:color w:val="auto"/>
              <w:spacing w:val="0"/>
              <w:sz w:val="21"/>
              <w:lang w:val="en-US" w:eastAsia="zh-CN"/>
            </w:rPr>
          </w:pPr>
          <w:r>
            <w:rPr>
              <w:color w:val="auto"/>
              <w:spacing w:val="-6"/>
            </w:rPr>
            <w:fldChar w:fldCharType="begin"/>
          </w:r>
          <w:r>
            <w:rPr>
              <w:color w:val="auto"/>
              <w:spacing w:val="-6"/>
            </w:rPr>
            <w:instrText xml:space="preserve">TOC \o "1-3" \h \u </w:instrText>
          </w:r>
          <w:r>
            <w:rPr>
              <w:color w:val="auto"/>
              <w:spacing w:val="-6"/>
            </w:rPr>
            <w:fldChar w:fldCharType="separate"/>
          </w:r>
          <w:r>
            <w:rPr>
              <w:rFonts w:hint="eastAsia" w:ascii="黑体" w:hAnsi="黑体" w:eastAsia="黑体" w:cs="黑体"/>
              <w:b/>
              <w:bCs w:val="0"/>
              <w:color w:val="auto"/>
              <w:spacing w:val="0"/>
              <w:sz w:val="21"/>
            </w:rPr>
            <w:fldChar w:fldCharType="begin"/>
          </w:r>
          <w:r>
            <w:rPr>
              <w:rFonts w:hint="eastAsia" w:ascii="黑体" w:hAnsi="黑体" w:eastAsia="黑体" w:cs="黑体"/>
              <w:b/>
              <w:bCs w:val="0"/>
              <w:color w:val="auto"/>
              <w:spacing w:val="0"/>
              <w:sz w:val="21"/>
            </w:rPr>
            <w:instrText xml:space="preserve"> HYPERLINK \l _Toc13422 </w:instrText>
          </w:r>
          <w:r>
            <w:rPr>
              <w:rFonts w:hint="eastAsia" w:ascii="黑体" w:hAnsi="黑体" w:eastAsia="黑体" w:cs="黑体"/>
              <w:b/>
              <w:bCs w:val="0"/>
              <w:color w:val="auto"/>
              <w:spacing w:val="0"/>
              <w:sz w:val="21"/>
            </w:rPr>
            <w:fldChar w:fldCharType="separate"/>
          </w:r>
          <w:r>
            <w:rPr>
              <w:rFonts w:hint="eastAsia" w:ascii="黑体" w:hAnsi="黑体" w:eastAsia="黑体" w:cs="黑体"/>
              <w:b/>
              <w:bCs w:val="0"/>
              <w:color w:val="auto"/>
              <w:spacing w:val="0"/>
              <w:sz w:val="21"/>
              <w:lang w:val="en-US" w:eastAsia="zh-CN"/>
            </w:rPr>
            <w:t>一、</w:t>
          </w:r>
          <w:r>
            <w:rPr>
              <w:rFonts w:hint="eastAsia" w:ascii="宋体" w:hAnsi="宋体" w:eastAsia="宋体" w:cs="宋体"/>
              <w:b/>
              <w:bCs w:val="0"/>
              <w:color w:val="auto"/>
              <w:spacing w:val="0"/>
              <w:sz w:val="21"/>
              <w:lang w:val="en-US" w:eastAsia="zh-CN"/>
            </w:rPr>
            <w:t>技术描</w:t>
          </w:r>
          <w:r>
            <w:rPr>
              <w:rFonts w:hint="eastAsia" w:ascii="黑体" w:hAnsi="黑体" w:eastAsia="黑体" w:cs="黑体"/>
              <w:b/>
              <w:bCs w:val="0"/>
              <w:color w:val="auto"/>
              <w:spacing w:val="0"/>
              <w:sz w:val="21"/>
              <w:lang w:val="en-US" w:eastAsia="zh-CN"/>
            </w:rPr>
            <w:t>述</w:t>
          </w:r>
          <w:r>
            <w:rPr>
              <w:b/>
              <w:bCs w:val="0"/>
              <w:color w:val="auto"/>
              <w:spacing w:val="-6"/>
            </w:rPr>
            <w:tab/>
          </w:r>
          <w:r>
            <w:rPr>
              <w:rFonts w:hint="eastAsia" w:ascii="黑体" w:hAnsi="黑体" w:eastAsia="黑体" w:cs="黑体"/>
              <w:b/>
              <w:bCs w:val="0"/>
              <w:color w:val="auto"/>
              <w:spacing w:val="0"/>
              <w:sz w:val="21"/>
            </w:rPr>
            <w:fldChar w:fldCharType="end"/>
          </w:r>
        </w:p>
        <w:p w14:paraId="753A7030">
          <w:pPr>
            <w:pStyle w:val="9"/>
            <w:keepNext w:val="0"/>
            <w:keepLines w:val="0"/>
            <w:pageBreakBefore w:val="0"/>
            <w:widowControl w:val="0"/>
            <w:tabs>
              <w:tab w:val="right" w:leader="dot" w:pos="8306"/>
            </w:tabs>
            <w:kinsoku/>
            <w:wordWrap/>
            <w:overflowPunct/>
            <w:topLinePunct w:val="0"/>
            <w:autoSpaceDE w:val="0"/>
            <w:autoSpaceDN w:val="0"/>
            <w:bidi w:val="0"/>
            <w:adjustRightInd w:val="0"/>
            <w:snapToGrid w:val="0"/>
            <w:spacing w:line="240" w:lineRule="auto"/>
            <w:ind w:firstLine="422" w:firstLineChars="200"/>
            <w:rPr>
              <w:rFonts w:hint="eastAsia" w:ascii="宋体" w:hAnsi="宋体" w:eastAsia="宋体" w:cs="宋体"/>
              <w:b/>
              <w:bCs w:val="0"/>
              <w:color w:val="auto"/>
              <w:spacing w:val="0"/>
              <w:sz w:val="21"/>
            </w:rPr>
          </w:pPr>
          <w:r>
            <w:rPr>
              <w:b/>
              <w:bCs w:val="0"/>
              <w:color w:val="auto"/>
              <w:spacing w:val="0"/>
              <w:sz w:val="21"/>
            </w:rPr>
            <w:fldChar w:fldCharType="begin"/>
          </w:r>
          <w:r>
            <w:rPr>
              <w:b/>
              <w:bCs w:val="0"/>
              <w:color w:val="auto"/>
              <w:spacing w:val="0"/>
              <w:sz w:val="21"/>
            </w:rPr>
            <w:instrText xml:space="preserve"> HYPERLINK \l _Toc29009 </w:instrText>
          </w:r>
          <w:r>
            <w:rPr>
              <w:b/>
              <w:bCs w:val="0"/>
              <w:color w:val="auto"/>
              <w:spacing w:val="0"/>
              <w:sz w:val="21"/>
            </w:rPr>
            <w:fldChar w:fldCharType="separate"/>
          </w:r>
          <w:r>
            <w:rPr>
              <w:rFonts w:hint="eastAsia"/>
              <w:b/>
              <w:bCs w:val="0"/>
              <w:color w:val="auto"/>
              <w:spacing w:val="0"/>
              <w:sz w:val="21"/>
              <w:lang w:eastAsia="zh-CN"/>
            </w:rPr>
            <w:t>（</w:t>
          </w:r>
          <w:r>
            <w:rPr>
              <w:rFonts w:hint="eastAsia"/>
              <w:b/>
              <w:bCs w:val="0"/>
              <w:color w:val="auto"/>
              <w:spacing w:val="0"/>
              <w:sz w:val="21"/>
              <w:lang w:val="en-US" w:eastAsia="zh-CN"/>
            </w:rPr>
            <w:t>一</w:t>
          </w:r>
          <w:r>
            <w:rPr>
              <w:rFonts w:hint="eastAsia"/>
              <w:b/>
              <w:bCs w:val="0"/>
              <w:color w:val="auto"/>
              <w:spacing w:val="0"/>
              <w:sz w:val="21"/>
              <w:lang w:eastAsia="zh-CN"/>
            </w:rPr>
            <w:t>）</w:t>
          </w:r>
          <w:r>
            <w:rPr>
              <w:rFonts w:hint="eastAsia" w:ascii="宋体" w:hAnsi="宋体" w:cs="宋体"/>
              <w:b/>
              <w:bCs w:val="0"/>
              <w:color w:val="auto"/>
              <w:spacing w:val="0"/>
              <w:sz w:val="21"/>
            </w:rPr>
            <w:t>项目</w:t>
          </w:r>
          <w:r>
            <w:rPr>
              <w:rFonts w:hint="eastAsia" w:ascii="宋体" w:hAnsi="宋体" w:cs="宋体"/>
              <w:b/>
              <w:bCs w:val="0"/>
              <w:color w:val="auto"/>
              <w:spacing w:val="0"/>
              <w:sz w:val="21"/>
              <w:lang w:val="en-US" w:eastAsia="zh-CN"/>
            </w:rPr>
            <w:t>概要</w:t>
          </w:r>
          <w:r>
            <w:rPr>
              <w:b/>
              <w:bCs w:val="0"/>
              <w:color w:val="auto"/>
              <w:spacing w:val="0"/>
              <w:sz w:val="21"/>
            </w:rPr>
            <w:tab/>
          </w:r>
          <w:r>
            <w:rPr>
              <w:b/>
              <w:bCs w:val="0"/>
              <w:color w:val="auto"/>
              <w:spacing w:val="0"/>
              <w:sz w:val="21"/>
            </w:rPr>
            <w:fldChar w:fldCharType="end"/>
          </w:r>
        </w:p>
        <w:p w14:paraId="6449A878">
          <w:pPr>
            <w:pStyle w:val="9"/>
            <w:keepNext w:val="0"/>
            <w:keepLines w:val="0"/>
            <w:pageBreakBefore w:val="0"/>
            <w:widowControl w:val="0"/>
            <w:tabs>
              <w:tab w:val="right" w:leader="dot" w:pos="8306"/>
            </w:tabs>
            <w:kinsoku/>
            <w:wordWrap/>
            <w:overflowPunct/>
            <w:topLinePunct w:val="0"/>
            <w:autoSpaceDE w:val="0"/>
            <w:autoSpaceDN w:val="0"/>
            <w:bidi w:val="0"/>
            <w:adjustRightInd w:val="0"/>
            <w:snapToGrid w:val="0"/>
            <w:spacing w:line="240" w:lineRule="auto"/>
            <w:ind w:firstLine="422" w:firstLineChars="200"/>
            <w:rPr>
              <w:b/>
              <w:bCs w:val="0"/>
              <w:color w:val="auto"/>
              <w:spacing w:val="0"/>
              <w:sz w:val="21"/>
            </w:rPr>
          </w:pPr>
          <w:r>
            <w:rPr>
              <w:b/>
              <w:bCs w:val="0"/>
              <w:color w:val="auto"/>
              <w:spacing w:val="0"/>
              <w:sz w:val="21"/>
            </w:rPr>
            <w:fldChar w:fldCharType="begin"/>
          </w:r>
          <w:r>
            <w:rPr>
              <w:b/>
              <w:bCs w:val="0"/>
              <w:color w:val="auto"/>
              <w:spacing w:val="0"/>
              <w:sz w:val="21"/>
            </w:rPr>
            <w:instrText xml:space="preserve"> HYPERLINK \l _Toc29189 </w:instrText>
          </w:r>
          <w:r>
            <w:rPr>
              <w:b/>
              <w:bCs w:val="0"/>
              <w:color w:val="auto"/>
              <w:spacing w:val="0"/>
              <w:sz w:val="21"/>
            </w:rPr>
            <w:fldChar w:fldCharType="separate"/>
          </w:r>
          <w:r>
            <w:rPr>
              <w:rFonts w:hint="eastAsia"/>
              <w:b/>
              <w:bCs w:val="0"/>
              <w:color w:val="auto"/>
              <w:spacing w:val="0"/>
              <w:sz w:val="21"/>
              <w:lang w:eastAsia="zh-CN"/>
            </w:rPr>
            <w:t>（</w:t>
          </w:r>
          <w:r>
            <w:rPr>
              <w:rFonts w:hint="eastAsia"/>
              <w:b/>
              <w:bCs w:val="0"/>
              <w:color w:val="auto"/>
              <w:spacing w:val="0"/>
              <w:sz w:val="21"/>
              <w:lang w:val="en-US" w:eastAsia="zh-CN"/>
            </w:rPr>
            <w:t>二</w:t>
          </w:r>
          <w:r>
            <w:rPr>
              <w:rFonts w:hint="eastAsia"/>
              <w:b/>
              <w:bCs w:val="0"/>
              <w:color w:val="auto"/>
              <w:spacing w:val="0"/>
              <w:sz w:val="21"/>
              <w:lang w:eastAsia="zh-CN"/>
            </w:rPr>
            <w:t>）</w:t>
          </w:r>
          <w:r>
            <w:rPr>
              <w:rFonts w:hint="eastAsia" w:ascii="宋体" w:hAnsi="宋体" w:cs="宋体"/>
              <w:b/>
              <w:bCs w:val="0"/>
              <w:color w:val="auto"/>
              <w:spacing w:val="0"/>
              <w:sz w:val="21"/>
              <w:lang w:val="en-US" w:eastAsia="zh-CN"/>
            </w:rPr>
            <w:t>基本知识与能力要求</w:t>
          </w:r>
          <w:r>
            <w:rPr>
              <w:b/>
              <w:bCs w:val="0"/>
              <w:color w:val="auto"/>
              <w:spacing w:val="0"/>
              <w:sz w:val="21"/>
            </w:rPr>
            <w:tab/>
          </w:r>
          <w:r>
            <w:rPr>
              <w:b/>
              <w:bCs w:val="0"/>
              <w:color w:val="auto"/>
              <w:spacing w:val="0"/>
              <w:sz w:val="21"/>
            </w:rPr>
            <w:fldChar w:fldCharType="end"/>
          </w:r>
        </w:p>
        <w:p w14:paraId="2422625B">
          <w:pPr>
            <w:pStyle w:val="7"/>
            <w:keepNext w:val="0"/>
            <w:keepLines w:val="0"/>
            <w:pageBreakBefore w:val="0"/>
            <w:widowControl w:val="0"/>
            <w:tabs>
              <w:tab w:val="right" w:leader="dot" w:pos="8306"/>
            </w:tabs>
            <w:kinsoku/>
            <w:wordWrap/>
            <w:overflowPunct/>
            <w:topLinePunct w:val="0"/>
            <w:autoSpaceDE w:val="0"/>
            <w:autoSpaceDN w:val="0"/>
            <w:bidi w:val="0"/>
            <w:adjustRightInd w:val="0"/>
            <w:snapToGrid w:val="0"/>
            <w:spacing w:line="240" w:lineRule="auto"/>
            <w:ind w:firstLine="422" w:firstLineChars="200"/>
            <w:rPr>
              <w:rFonts w:hint="eastAsia" w:eastAsia="宋体"/>
              <w:b/>
              <w:bCs w:val="0"/>
              <w:color w:val="auto"/>
              <w:spacing w:val="-6"/>
              <w:lang w:val="en-US" w:eastAsia="zh-CN"/>
            </w:rPr>
          </w:pPr>
          <w:r>
            <w:rPr>
              <w:b/>
              <w:bCs w:val="0"/>
              <w:color w:val="auto"/>
              <w:spacing w:val="0"/>
              <w:sz w:val="21"/>
            </w:rPr>
            <w:fldChar w:fldCharType="begin"/>
          </w:r>
          <w:r>
            <w:rPr>
              <w:b/>
              <w:bCs w:val="0"/>
              <w:color w:val="auto"/>
              <w:spacing w:val="0"/>
              <w:sz w:val="21"/>
            </w:rPr>
            <w:instrText xml:space="preserve"> HYPERLINK \l _Toc31553 </w:instrText>
          </w:r>
          <w:r>
            <w:rPr>
              <w:b/>
              <w:bCs w:val="0"/>
              <w:color w:val="auto"/>
              <w:spacing w:val="0"/>
              <w:sz w:val="21"/>
            </w:rPr>
            <w:fldChar w:fldCharType="separate"/>
          </w:r>
          <w:r>
            <w:rPr>
              <w:rFonts w:hint="eastAsia"/>
              <w:b/>
              <w:bCs w:val="0"/>
              <w:color w:val="auto"/>
              <w:spacing w:val="0"/>
              <w:sz w:val="21"/>
              <w:lang w:val="en-US" w:eastAsia="zh-CN"/>
            </w:rPr>
            <w:t>二、竞赛方式和成绩评定</w:t>
          </w:r>
          <w:r>
            <w:rPr>
              <w:b/>
              <w:bCs w:val="0"/>
              <w:color w:val="auto"/>
              <w:spacing w:val="0"/>
              <w:sz w:val="21"/>
            </w:rPr>
            <w:tab/>
          </w:r>
          <w:r>
            <w:rPr>
              <w:b/>
              <w:bCs w:val="0"/>
              <w:color w:val="auto"/>
              <w:spacing w:val="0"/>
              <w:sz w:val="21"/>
            </w:rPr>
            <w:fldChar w:fldCharType="end"/>
          </w:r>
        </w:p>
        <w:p w14:paraId="1AAA0058">
          <w:pPr>
            <w:pStyle w:val="9"/>
            <w:keepNext w:val="0"/>
            <w:keepLines w:val="0"/>
            <w:pageBreakBefore w:val="0"/>
            <w:widowControl w:val="0"/>
            <w:tabs>
              <w:tab w:val="right" w:leader="dot" w:pos="9070"/>
            </w:tabs>
            <w:kinsoku/>
            <w:wordWrap/>
            <w:overflowPunct/>
            <w:topLinePunct w:val="0"/>
            <w:autoSpaceDE w:val="0"/>
            <w:autoSpaceDN w:val="0"/>
            <w:bidi w:val="0"/>
            <w:ind w:firstLine="398" w:firstLineChars="200"/>
            <w:rPr>
              <w:rFonts w:hint="default" w:eastAsia="宋体"/>
              <w:b/>
              <w:bCs w:val="0"/>
              <w:color w:val="auto"/>
              <w:lang w:val="en-US" w:eastAsia="zh-CN"/>
            </w:rPr>
          </w:pPr>
          <w:r>
            <w:rPr>
              <w:rFonts w:ascii="Times New Roman" w:hAnsi="Times New Roman" w:eastAsia="宋体" w:cs="Times New Roman"/>
              <w:b/>
              <w:bCs w:val="0"/>
              <w:color w:val="auto"/>
              <w:spacing w:val="-6"/>
              <w:szCs w:val="52"/>
              <w:lang w:val="en-US"/>
            </w:rPr>
            <w:fldChar w:fldCharType="begin"/>
          </w:r>
          <w:r>
            <w:rPr>
              <w:rFonts w:ascii="Times New Roman" w:hAnsi="Times New Roman" w:eastAsia="宋体" w:cs="Times New Roman"/>
              <w:b/>
              <w:bCs w:val="0"/>
              <w:color w:val="auto"/>
              <w:spacing w:val="-6"/>
              <w:szCs w:val="52"/>
              <w:lang w:val="en-US"/>
            </w:rPr>
            <w:instrText xml:space="preserve"> HYPERLINK \l _Toc22208 </w:instrText>
          </w:r>
          <w:r>
            <w:rPr>
              <w:rFonts w:ascii="Times New Roman" w:hAnsi="Times New Roman" w:eastAsia="宋体" w:cs="Times New Roman"/>
              <w:b/>
              <w:bCs w:val="0"/>
              <w:color w:val="auto"/>
              <w:spacing w:val="-6"/>
              <w:szCs w:val="52"/>
              <w:lang w:val="en-US"/>
            </w:rPr>
            <w:fldChar w:fldCharType="separate"/>
          </w:r>
          <w:r>
            <w:rPr>
              <w:rFonts w:hint="eastAsia" w:ascii="宋体" w:hAnsi="宋体" w:cs="宋体"/>
              <w:b/>
              <w:bCs w:val="0"/>
              <w:color w:val="auto"/>
              <w:spacing w:val="-6"/>
              <w:szCs w:val="28"/>
            </w:rPr>
            <w:t>（一）</w:t>
          </w:r>
          <w:r>
            <w:rPr>
              <w:rFonts w:hint="eastAsia" w:ascii="宋体" w:hAnsi="宋体" w:cs="宋体"/>
              <w:b/>
              <w:bCs w:val="0"/>
              <w:color w:val="auto"/>
              <w:spacing w:val="0"/>
              <w:sz w:val="21"/>
              <w:szCs w:val="28"/>
            </w:rPr>
            <w:t>竞赛</w:t>
          </w:r>
          <w:r>
            <w:rPr>
              <w:rFonts w:hint="eastAsia" w:ascii="宋体" w:hAnsi="宋体" w:cs="宋体"/>
              <w:b/>
              <w:bCs w:val="0"/>
              <w:color w:val="auto"/>
              <w:spacing w:val="0"/>
              <w:sz w:val="21"/>
              <w:szCs w:val="28"/>
              <w:lang w:val="en-US" w:eastAsia="zh-CN"/>
            </w:rPr>
            <w:t>方式</w:t>
          </w:r>
          <w:r>
            <w:rPr>
              <w:rFonts w:hint="eastAsia"/>
              <w:b/>
              <w:bCs w:val="0"/>
              <w:color w:val="auto"/>
              <w:lang w:val="en-US" w:eastAsia="zh-CN"/>
            </w:rPr>
            <w:t>.</w:t>
          </w:r>
          <w:r>
            <w:rPr>
              <w:rFonts w:ascii="Times New Roman" w:hAnsi="Times New Roman" w:eastAsia="宋体" w:cs="Times New Roman"/>
              <w:b/>
              <w:bCs w:val="0"/>
              <w:color w:val="auto"/>
              <w:spacing w:val="-6"/>
              <w:szCs w:val="52"/>
              <w:lang w:val="en-US"/>
            </w:rPr>
            <w:fldChar w:fldCharType="end"/>
          </w:r>
          <w:r>
            <w:rPr>
              <w:rFonts w:hint="eastAsia" w:cs="Times New Roman"/>
              <w:b/>
              <w:bCs w:val="0"/>
              <w:color w:val="auto"/>
              <w:spacing w:val="-6"/>
              <w:szCs w:val="52"/>
              <w:lang w:val="en-US" w:eastAsia="zh-CN"/>
            </w:rPr>
            <w:t>................................................................................................................................</w:t>
          </w:r>
        </w:p>
        <w:p w14:paraId="6FC3D542">
          <w:pPr>
            <w:pStyle w:val="9"/>
            <w:keepNext w:val="0"/>
            <w:keepLines w:val="0"/>
            <w:pageBreakBefore w:val="0"/>
            <w:widowControl w:val="0"/>
            <w:tabs>
              <w:tab w:val="right" w:leader="dot" w:pos="9070"/>
            </w:tabs>
            <w:kinsoku/>
            <w:wordWrap/>
            <w:overflowPunct/>
            <w:topLinePunct w:val="0"/>
            <w:autoSpaceDE w:val="0"/>
            <w:autoSpaceDN w:val="0"/>
            <w:bidi w:val="0"/>
            <w:ind w:firstLine="422" w:firstLineChars="200"/>
            <w:rPr>
              <w:rFonts w:hint="default" w:eastAsia="宋体"/>
              <w:b/>
              <w:bCs w:val="0"/>
              <w:color w:val="auto"/>
              <w:spacing w:val="0"/>
              <w:sz w:val="21"/>
              <w:lang w:val="en-US" w:eastAsia="zh-CN"/>
            </w:rPr>
          </w:pPr>
          <w:r>
            <w:rPr>
              <w:rFonts w:ascii="Times New Roman" w:hAnsi="Times New Roman" w:eastAsia="宋体" w:cs="Times New Roman"/>
              <w:b/>
              <w:bCs w:val="0"/>
              <w:color w:val="auto"/>
              <w:spacing w:val="0"/>
              <w:sz w:val="21"/>
              <w:szCs w:val="52"/>
              <w:lang w:val="en-US"/>
            </w:rPr>
            <w:fldChar w:fldCharType="begin"/>
          </w:r>
          <w:r>
            <w:rPr>
              <w:rFonts w:ascii="Times New Roman" w:hAnsi="Times New Roman" w:eastAsia="宋体" w:cs="Times New Roman"/>
              <w:b/>
              <w:bCs w:val="0"/>
              <w:color w:val="auto"/>
              <w:spacing w:val="0"/>
              <w:sz w:val="21"/>
              <w:szCs w:val="52"/>
              <w:lang w:val="en-US"/>
            </w:rPr>
            <w:instrText xml:space="preserve"> HYPERLINK \l _Toc8123 </w:instrText>
          </w:r>
          <w:r>
            <w:rPr>
              <w:rFonts w:ascii="Times New Roman" w:hAnsi="Times New Roman" w:eastAsia="宋体" w:cs="Times New Roman"/>
              <w:b/>
              <w:bCs w:val="0"/>
              <w:color w:val="auto"/>
              <w:spacing w:val="0"/>
              <w:sz w:val="21"/>
              <w:szCs w:val="52"/>
              <w:lang w:val="en-US"/>
            </w:rPr>
            <w:fldChar w:fldCharType="separate"/>
          </w:r>
          <w:r>
            <w:rPr>
              <w:rFonts w:hint="eastAsia"/>
              <w:b/>
              <w:bCs w:val="0"/>
              <w:color w:val="auto"/>
              <w:spacing w:val="0"/>
              <w:sz w:val="21"/>
              <w:szCs w:val="28"/>
            </w:rPr>
            <w:t>（二）</w:t>
          </w:r>
          <w:r>
            <w:rPr>
              <w:rFonts w:hint="eastAsia"/>
              <w:b/>
              <w:bCs w:val="0"/>
              <w:color w:val="auto"/>
              <w:spacing w:val="0"/>
              <w:sz w:val="21"/>
              <w:szCs w:val="28"/>
              <w:lang w:val="en-US" w:eastAsia="zh-CN"/>
            </w:rPr>
            <w:t>竞赛</w:t>
          </w:r>
          <w:r>
            <w:rPr>
              <w:rFonts w:hint="eastAsia"/>
              <w:b/>
              <w:bCs w:val="0"/>
              <w:color w:val="auto"/>
              <w:spacing w:val="0"/>
              <w:sz w:val="21"/>
              <w:szCs w:val="28"/>
            </w:rPr>
            <w:t>时间及具体内容</w:t>
          </w:r>
          <w:r>
            <w:rPr>
              <w:rFonts w:hint="eastAsia"/>
              <w:b/>
              <w:bCs w:val="0"/>
              <w:color w:val="auto"/>
              <w:spacing w:val="0"/>
              <w:sz w:val="21"/>
              <w:szCs w:val="28"/>
              <w:lang w:val="en-US" w:eastAsia="zh-CN"/>
            </w:rPr>
            <w:t>.</w:t>
          </w:r>
          <w:r>
            <w:rPr>
              <w:rFonts w:ascii="Times New Roman" w:hAnsi="Times New Roman" w:eastAsia="宋体" w:cs="Times New Roman"/>
              <w:b/>
              <w:bCs w:val="0"/>
              <w:color w:val="auto"/>
              <w:spacing w:val="0"/>
              <w:sz w:val="21"/>
              <w:szCs w:val="52"/>
              <w:lang w:val="en-US"/>
            </w:rPr>
            <w:fldChar w:fldCharType="end"/>
          </w:r>
          <w:r>
            <w:rPr>
              <w:rFonts w:hint="eastAsia" w:cs="Times New Roman"/>
              <w:b/>
              <w:bCs w:val="0"/>
              <w:color w:val="auto"/>
              <w:spacing w:val="0"/>
              <w:sz w:val="21"/>
              <w:szCs w:val="52"/>
              <w:lang w:val="en-US" w:eastAsia="zh-CN"/>
            </w:rPr>
            <w:t>.............................................................................................</w:t>
          </w:r>
        </w:p>
        <w:p w14:paraId="72CA0715">
          <w:pPr>
            <w:pStyle w:val="9"/>
            <w:keepNext w:val="0"/>
            <w:keepLines w:val="0"/>
            <w:pageBreakBefore w:val="0"/>
            <w:widowControl w:val="0"/>
            <w:tabs>
              <w:tab w:val="right" w:leader="dot" w:pos="9070"/>
            </w:tabs>
            <w:kinsoku/>
            <w:wordWrap/>
            <w:overflowPunct/>
            <w:topLinePunct w:val="0"/>
            <w:autoSpaceDE w:val="0"/>
            <w:autoSpaceDN w:val="0"/>
            <w:bidi w:val="0"/>
            <w:ind w:firstLine="422" w:firstLineChars="200"/>
            <w:rPr>
              <w:b/>
              <w:bCs w:val="0"/>
              <w:color w:val="auto"/>
            </w:rPr>
          </w:pPr>
          <w:r>
            <w:rPr>
              <w:rFonts w:ascii="Times New Roman" w:hAnsi="Times New Roman" w:eastAsia="宋体" w:cs="Times New Roman"/>
              <w:b/>
              <w:bCs w:val="0"/>
              <w:color w:val="auto"/>
              <w:spacing w:val="0"/>
              <w:sz w:val="21"/>
              <w:szCs w:val="52"/>
              <w:lang w:val="en-US"/>
            </w:rPr>
            <w:fldChar w:fldCharType="begin"/>
          </w:r>
          <w:r>
            <w:rPr>
              <w:rFonts w:ascii="Times New Roman" w:hAnsi="Times New Roman" w:eastAsia="宋体" w:cs="Times New Roman"/>
              <w:b/>
              <w:bCs w:val="0"/>
              <w:color w:val="auto"/>
              <w:spacing w:val="0"/>
              <w:sz w:val="21"/>
              <w:szCs w:val="52"/>
              <w:lang w:val="en-US"/>
            </w:rPr>
            <w:instrText xml:space="preserve"> HYPERLINK \l _Toc23929 </w:instrText>
          </w:r>
          <w:r>
            <w:rPr>
              <w:rFonts w:ascii="Times New Roman" w:hAnsi="Times New Roman" w:eastAsia="宋体" w:cs="Times New Roman"/>
              <w:b/>
              <w:bCs w:val="0"/>
              <w:color w:val="auto"/>
              <w:spacing w:val="0"/>
              <w:sz w:val="21"/>
              <w:szCs w:val="52"/>
              <w:lang w:val="en-US"/>
            </w:rPr>
            <w:fldChar w:fldCharType="separate"/>
          </w:r>
          <w:r>
            <w:rPr>
              <w:rFonts w:hint="eastAsia"/>
              <w:b/>
              <w:bCs w:val="0"/>
              <w:color w:val="auto"/>
              <w:spacing w:val="0"/>
              <w:sz w:val="21"/>
              <w:szCs w:val="28"/>
            </w:rPr>
            <w:t>（三）竞赛评判标准</w:t>
          </w:r>
          <w:r>
            <w:rPr>
              <w:rFonts w:hint="eastAsia" w:cs="Times New Roman"/>
              <w:b/>
              <w:bCs w:val="0"/>
              <w:color w:val="auto"/>
              <w:spacing w:val="0"/>
              <w:sz w:val="21"/>
              <w:szCs w:val="52"/>
              <w:lang w:val="en-US" w:eastAsia="zh-CN"/>
            </w:rPr>
            <w:t>..........................................................................................................</w:t>
          </w:r>
          <w:r>
            <w:rPr>
              <w:rFonts w:ascii="Times New Roman" w:hAnsi="Times New Roman" w:eastAsia="宋体" w:cs="Times New Roman"/>
              <w:b/>
              <w:bCs w:val="0"/>
              <w:color w:val="auto"/>
              <w:spacing w:val="0"/>
              <w:sz w:val="21"/>
              <w:szCs w:val="52"/>
              <w:lang w:val="en-US"/>
            </w:rPr>
            <w:fldChar w:fldCharType="end"/>
          </w:r>
        </w:p>
        <w:p w14:paraId="22CBDB67">
          <w:pPr>
            <w:pStyle w:val="3"/>
            <w:keepNext w:val="0"/>
            <w:keepLines w:val="0"/>
            <w:pageBreakBefore w:val="0"/>
            <w:widowControl w:val="0"/>
            <w:tabs>
              <w:tab w:val="right" w:leader="dot" w:pos="9070"/>
            </w:tabs>
            <w:kinsoku/>
            <w:wordWrap/>
            <w:overflowPunct/>
            <w:topLinePunct w:val="0"/>
            <w:autoSpaceDE w:val="0"/>
            <w:autoSpaceDN w:val="0"/>
            <w:bidi w:val="0"/>
            <w:ind w:firstLine="422" w:firstLineChars="200"/>
            <w:rPr>
              <w:b/>
              <w:bCs w:val="0"/>
              <w:color w:val="auto"/>
              <w:spacing w:val="0"/>
              <w:sz w:val="21"/>
            </w:rPr>
          </w:pPr>
          <w:r>
            <w:rPr>
              <w:rFonts w:ascii="Times New Roman" w:hAnsi="Times New Roman" w:eastAsia="宋体" w:cs="Times New Roman"/>
              <w:b/>
              <w:bCs w:val="0"/>
              <w:color w:val="auto"/>
              <w:spacing w:val="0"/>
              <w:sz w:val="21"/>
              <w:szCs w:val="52"/>
              <w:lang w:val="en-US"/>
            </w:rPr>
            <w:fldChar w:fldCharType="begin"/>
          </w:r>
          <w:r>
            <w:rPr>
              <w:rFonts w:ascii="Times New Roman" w:hAnsi="Times New Roman" w:eastAsia="宋体" w:cs="Times New Roman"/>
              <w:b/>
              <w:bCs w:val="0"/>
              <w:color w:val="auto"/>
              <w:spacing w:val="0"/>
              <w:sz w:val="21"/>
              <w:szCs w:val="52"/>
              <w:lang w:val="en-US"/>
            </w:rPr>
            <w:instrText xml:space="preserve"> HYPERLINK \l _Toc24095 </w:instrText>
          </w:r>
          <w:r>
            <w:rPr>
              <w:rFonts w:ascii="Times New Roman" w:hAnsi="Times New Roman" w:eastAsia="宋体" w:cs="Times New Roman"/>
              <w:b/>
              <w:bCs w:val="0"/>
              <w:color w:val="auto"/>
              <w:spacing w:val="0"/>
              <w:sz w:val="21"/>
              <w:szCs w:val="52"/>
              <w:lang w:val="en-US"/>
            </w:rPr>
            <w:fldChar w:fldCharType="separate"/>
          </w:r>
          <w:r>
            <w:rPr>
              <w:rFonts w:hint="eastAsia" w:ascii="宋体" w:hAnsi="宋体" w:cs="宋体"/>
              <w:b/>
              <w:bCs w:val="0"/>
              <w:color w:val="auto"/>
              <w:spacing w:val="0"/>
              <w:sz w:val="21"/>
              <w:szCs w:val="28"/>
            </w:rPr>
            <w:t>1、竞赛试题配分</w:t>
          </w:r>
          <w:r>
            <w:rPr>
              <w:rFonts w:hint="eastAsia" w:cs="Times New Roman"/>
              <w:b/>
              <w:bCs w:val="0"/>
              <w:color w:val="auto"/>
              <w:spacing w:val="0"/>
              <w:sz w:val="21"/>
              <w:szCs w:val="52"/>
              <w:lang w:val="en-US" w:eastAsia="zh-CN"/>
            </w:rPr>
            <w:t>........................................................................................................</w:t>
          </w:r>
          <w:r>
            <w:rPr>
              <w:rFonts w:ascii="Times New Roman" w:hAnsi="Times New Roman" w:eastAsia="宋体" w:cs="Times New Roman"/>
              <w:b/>
              <w:bCs w:val="0"/>
              <w:color w:val="auto"/>
              <w:spacing w:val="0"/>
              <w:sz w:val="21"/>
              <w:szCs w:val="52"/>
              <w:lang w:val="en-US"/>
            </w:rPr>
            <w:fldChar w:fldCharType="end"/>
          </w:r>
        </w:p>
        <w:p w14:paraId="2474A7D7">
          <w:pPr>
            <w:pStyle w:val="3"/>
            <w:keepNext w:val="0"/>
            <w:keepLines w:val="0"/>
            <w:pageBreakBefore w:val="0"/>
            <w:widowControl w:val="0"/>
            <w:tabs>
              <w:tab w:val="right" w:leader="dot" w:pos="9070"/>
            </w:tabs>
            <w:kinsoku/>
            <w:wordWrap/>
            <w:overflowPunct/>
            <w:topLinePunct w:val="0"/>
            <w:autoSpaceDE w:val="0"/>
            <w:autoSpaceDN w:val="0"/>
            <w:bidi w:val="0"/>
            <w:ind w:firstLine="422" w:firstLineChars="200"/>
            <w:rPr>
              <w:b/>
              <w:bCs w:val="0"/>
              <w:color w:val="auto"/>
              <w:spacing w:val="0"/>
              <w:sz w:val="21"/>
            </w:rPr>
          </w:pPr>
          <w:r>
            <w:rPr>
              <w:rFonts w:ascii="Times New Roman" w:hAnsi="Times New Roman" w:eastAsia="宋体" w:cs="Times New Roman"/>
              <w:b/>
              <w:bCs w:val="0"/>
              <w:color w:val="auto"/>
              <w:spacing w:val="0"/>
              <w:sz w:val="21"/>
              <w:szCs w:val="52"/>
              <w:lang w:val="en-US"/>
            </w:rPr>
            <w:fldChar w:fldCharType="begin"/>
          </w:r>
          <w:r>
            <w:rPr>
              <w:rFonts w:ascii="Times New Roman" w:hAnsi="Times New Roman" w:eastAsia="宋体" w:cs="Times New Roman"/>
              <w:b/>
              <w:bCs w:val="0"/>
              <w:color w:val="auto"/>
              <w:spacing w:val="0"/>
              <w:sz w:val="21"/>
              <w:szCs w:val="52"/>
              <w:lang w:val="en-US"/>
            </w:rPr>
            <w:instrText xml:space="preserve"> HYPERLINK \l _Toc25277 </w:instrText>
          </w:r>
          <w:r>
            <w:rPr>
              <w:rFonts w:ascii="Times New Roman" w:hAnsi="Times New Roman" w:eastAsia="宋体" w:cs="Times New Roman"/>
              <w:b/>
              <w:bCs w:val="0"/>
              <w:color w:val="auto"/>
              <w:spacing w:val="0"/>
              <w:sz w:val="21"/>
              <w:szCs w:val="52"/>
              <w:lang w:val="en-US"/>
            </w:rPr>
            <w:fldChar w:fldCharType="separate"/>
          </w:r>
          <w:r>
            <w:rPr>
              <w:rFonts w:hint="eastAsia" w:ascii="宋体" w:hAnsi="宋体" w:cs="宋体"/>
              <w:b/>
              <w:bCs w:val="0"/>
              <w:color w:val="auto"/>
              <w:spacing w:val="0"/>
              <w:sz w:val="21"/>
              <w:szCs w:val="28"/>
            </w:rPr>
            <w:t>2、评判方法</w:t>
          </w:r>
          <w:r>
            <w:rPr>
              <w:rFonts w:hint="eastAsia" w:cs="Times New Roman"/>
              <w:b/>
              <w:bCs w:val="0"/>
              <w:color w:val="auto"/>
              <w:spacing w:val="0"/>
              <w:sz w:val="21"/>
              <w:szCs w:val="52"/>
              <w:lang w:val="en-US" w:eastAsia="zh-CN"/>
            </w:rPr>
            <w:t>................................................................................................................</w:t>
          </w:r>
          <w:r>
            <w:rPr>
              <w:rFonts w:ascii="Times New Roman" w:hAnsi="Times New Roman" w:eastAsia="宋体" w:cs="Times New Roman"/>
              <w:b/>
              <w:bCs w:val="0"/>
              <w:color w:val="auto"/>
              <w:spacing w:val="0"/>
              <w:sz w:val="21"/>
              <w:szCs w:val="52"/>
              <w:lang w:val="en-US"/>
            </w:rPr>
            <w:fldChar w:fldCharType="end"/>
          </w:r>
        </w:p>
        <w:p w14:paraId="786B8FC8">
          <w:pPr>
            <w:pStyle w:val="3"/>
            <w:keepNext w:val="0"/>
            <w:keepLines w:val="0"/>
            <w:pageBreakBefore w:val="0"/>
            <w:widowControl w:val="0"/>
            <w:tabs>
              <w:tab w:val="right" w:leader="dot" w:pos="9070"/>
            </w:tabs>
            <w:kinsoku/>
            <w:wordWrap/>
            <w:overflowPunct/>
            <w:topLinePunct w:val="0"/>
            <w:autoSpaceDE w:val="0"/>
            <w:autoSpaceDN w:val="0"/>
            <w:bidi w:val="0"/>
            <w:ind w:firstLine="422" w:firstLineChars="200"/>
            <w:rPr>
              <w:b/>
              <w:bCs w:val="0"/>
              <w:color w:val="auto"/>
              <w:spacing w:val="-6"/>
            </w:rPr>
          </w:pPr>
          <w:r>
            <w:rPr>
              <w:rFonts w:hint="eastAsia" w:ascii="宋体" w:hAnsi="宋体" w:cs="宋体"/>
              <w:b/>
              <w:bCs w:val="0"/>
              <w:color w:val="auto"/>
              <w:spacing w:val="0"/>
              <w:sz w:val="21"/>
              <w:szCs w:val="28"/>
              <w:lang w:val="en-US" w:eastAsia="zh-CN"/>
            </w:rPr>
            <w:t>3、</w:t>
          </w:r>
          <w:r>
            <w:rPr>
              <w:rFonts w:hint="eastAsia" w:ascii="宋体" w:hAnsi="宋体" w:cs="宋体"/>
              <w:b/>
              <w:bCs w:val="0"/>
              <w:color w:val="auto"/>
              <w:spacing w:val="0"/>
              <w:sz w:val="21"/>
              <w:szCs w:val="28"/>
            </w:rPr>
            <w:t>评</w:t>
          </w:r>
          <w:r>
            <w:rPr>
              <w:rFonts w:hint="eastAsia" w:ascii="宋体" w:hAnsi="宋体" w:cs="宋体"/>
              <w:b/>
              <w:bCs w:val="0"/>
              <w:color w:val="auto"/>
              <w:spacing w:val="0"/>
              <w:sz w:val="21"/>
              <w:szCs w:val="28"/>
              <w:lang w:val="en-US" w:eastAsia="zh-CN"/>
            </w:rPr>
            <w:t>分标准</w:t>
          </w:r>
          <w:r>
            <w:rPr>
              <w:rFonts w:hint="eastAsia" w:cs="Times New Roman"/>
              <w:b/>
              <w:bCs w:val="0"/>
              <w:color w:val="auto"/>
              <w:spacing w:val="0"/>
              <w:sz w:val="21"/>
              <w:szCs w:val="52"/>
              <w:lang w:val="en-US" w:eastAsia="zh-CN"/>
            </w:rPr>
            <w:t>................................................................................................................</w:t>
          </w:r>
        </w:p>
        <w:p w14:paraId="46C11282">
          <w:pPr>
            <w:pStyle w:val="7"/>
            <w:keepNext w:val="0"/>
            <w:keepLines w:val="0"/>
            <w:pageBreakBefore w:val="0"/>
            <w:widowControl w:val="0"/>
            <w:tabs>
              <w:tab w:val="right" w:leader="dot" w:pos="8306"/>
            </w:tabs>
            <w:kinsoku/>
            <w:wordWrap/>
            <w:overflowPunct/>
            <w:topLinePunct w:val="0"/>
            <w:autoSpaceDE w:val="0"/>
            <w:autoSpaceDN w:val="0"/>
            <w:bidi w:val="0"/>
            <w:adjustRightInd w:val="0"/>
            <w:snapToGrid w:val="0"/>
            <w:spacing w:line="240" w:lineRule="auto"/>
            <w:ind w:firstLine="398" w:firstLineChars="200"/>
            <w:rPr>
              <w:b/>
              <w:bCs w:val="0"/>
              <w:color w:val="auto"/>
              <w:spacing w:val="-6"/>
            </w:rPr>
          </w:pPr>
          <w:r>
            <w:rPr>
              <w:b/>
              <w:bCs w:val="0"/>
              <w:color w:val="auto"/>
              <w:spacing w:val="-6"/>
            </w:rPr>
            <w:fldChar w:fldCharType="begin"/>
          </w:r>
          <w:r>
            <w:rPr>
              <w:b/>
              <w:bCs w:val="0"/>
              <w:color w:val="auto"/>
              <w:spacing w:val="-6"/>
            </w:rPr>
            <w:instrText xml:space="preserve"> HYPERLINK \l _Toc21088 </w:instrText>
          </w:r>
          <w:r>
            <w:rPr>
              <w:b/>
              <w:bCs w:val="0"/>
              <w:color w:val="auto"/>
              <w:spacing w:val="-6"/>
            </w:rPr>
            <w:fldChar w:fldCharType="separate"/>
          </w:r>
          <w:r>
            <w:rPr>
              <w:rFonts w:hint="eastAsia" w:ascii="黑体" w:hAnsi="黑体" w:eastAsia="黑体" w:cs="黑体"/>
              <w:b/>
              <w:bCs w:val="0"/>
              <w:color w:val="auto"/>
              <w:spacing w:val="-6"/>
              <w:lang w:val="en-US" w:eastAsia="zh-CN"/>
            </w:rPr>
            <w:t>三、</w:t>
          </w:r>
          <w:r>
            <w:rPr>
              <w:rFonts w:hint="eastAsia" w:ascii="黑体" w:hAnsi="黑体" w:eastAsia="黑体" w:cs="黑体"/>
              <w:b/>
              <w:bCs w:val="0"/>
              <w:color w:val="auto"/>
              <w:spacing w:val="0"/>
              <w:sz w:val="21"/>
              <w:lang w:val="en-US" w:eastAsia="zh-CN"/>
            </w:rPr>
            <w:t>竞赛细则</w:t>
          </w:r>
          <w:r>
            <w:rPr>
              <w:b/>
              <w:bCs w:val="0"/>
              <w:color w:val="auto"/>
              <w:spacing w:val="-6"/>
            </w:rPr>
            <w:tab/>
          </w:r>
          <w:r>
            <w:rPr>
              <w:b/>
              <w:bCs w:val="0"/>
              <w:color w:val="auto"/>
              <w:spacing w:val="-6"/>
            </w:rPr>
            <w:fldChar w:fldCharType="end"/>
          </w:r>
        </w:p>
        <w:p w14:paraId="3667C564">
          <w:pPr>
            <w:pStyle w:val="9"/>
            <w:keepNext w:val="0"/>
            <w:keepLines w:val="0"/>
            <w:pageBreakBefore w:val="0"/>
            <w:widowControl w:val="0"/>
            <w:tabs>
              <w:tab w:val="right" w:leader="dot" w:pos="9070"/>
            </w:tabs>
            <w:kinsoku/>
            <w:wordWrap/>
            <w:overflowPunct/>
            <w:topLinePunct w:val="0"/>
            <w:autoSpaceDE w:val="0"/>
            <w:autoSpaceDN w:val="0"/>
            <w:bidi w:val="0"/>
            <w:ind w:firstLine="422" w:firstLineChars="200"/>
            <w:rPr>
              <w:b/>
              <w:bCs w:val="0"/>
              <w:color w:val="auto"/>
              <w:spacing w:val="0"/>
              <w:sz w:val="21"/>
            </w:rPr>
          </w:pPr>
          <w:r>
            <w:rPr>
              <w:rFonts w:ascii="Times New Roman" w:hAnsi="Times New Roman" w:eastAsia="宋体" w:cs="Times New Roman"/>
              <w:b/>
              <w:bCs w:val="0"/>
              <w:color w:val="auto"/>
              <w:spacing w:val="0"/>
              <w:sz w:val="21"/>
              <w:szCs w:val="52"/>
              <w:lang w:val="en-US"/>
            </w:rPr>
            <w:fldChar w:fldCharType="begin"/>
          </w:r>
          <w:r>
            <w:rPr>
              <w:rFonts w:ascii="Times New Roman" w:hAnsi="Times New Roman" w:eastAsia="宋体" w:cs="Times New Roman"/>
              <w:b/>
              <w:bCs w:val="0"/>
              <w:color w:val="auto"/>
              <w:spacing w:val="0"/>
              <w:sz w:val="21"/>
              <w:szCs w:val="52"/>
              <w:lang w:val="en-US"/>
            </w:rPr>
            <w:instrText xml:space="preserve"> HYPERLINK \l _Toc21730 </w:instrText>
          </w:r>
          <w:r>
            <w:rPr>
              <w:rFonts w:ascii="Times New Roman" w:hAnsi="Times New Roman" w:eastAsia="宋体" w:cs="Times New Roman"/>
              <w:b/>
              <w:bCs w:val="0"/>
              <w:color w:val="auto"/>
              <w:spacing w:val="0"/>
              <w:sz w:val="21"/>
              <w:szCs w:val="52"/>
              <w:lang w:val="en-US"/>
            </w:rPr>
            <w:fldChar w:fldCharType="separate"/>
          </w:r>
          <w:r>
            <w:rPr>
              <w:rFonts w:hint="eastAsia"/>
              <w:b/>
              <w:bCs w:val="0"/>
              <w:color w:val="auto"/>
              <w:spacing w:val="0"/>
              <w:sz w:val="21"/>
              <w:szCs w:val="28"/>
            </w:rPr>
            <w:t>（一）竞赛时间安排</w:t>
          </w:r>
          <w:r>
            <w:rPr>
              <w:rFonts w:hint="eastAsia" w:cs="Times New Roman"/>
              <w:b/>
              <w:bCs w:val="0"/>
              <w:color w:val="auto"/>
              <w:spacing w:val="0"/>
              <w:sz w:val="21"/>
              <w:szCs w:val="52"/>
              <w:lang w:val="en-US" w:eastAsia="zh-CN"/>
            </w:rPr>
            <w:t>..........................................................................................................</w:t>
          </w:r>
          <w:r>
            <w:rPr>
              <w:rFonts w:ascii="Times New Roman" w:hAnsi="Times New Roman" w:eastAsia="宋体" w:cs="Times New Roman"/>
              <w:b/>
              <w:bCs w:val="0"/>
              <w:color w:val="auto"/>
              <w:spacing w:val="0"/>
              <w:sz w:val="21"/>
              <w:szCs w:val="52"/>
              <w:lang w:val="en-US"/>
            </w:rPr>
            <w:fldChar w:fldCharType="end"/>
          </w:r>
        </w:p>
        <w:p w14:paraId="23ECBE6A">
          <w:pPr>
            <w:pStyle w:val="9"/>
            <w:keepNext w:val="0"/>
            <w:keepLines w:val="0"/>
            <w:pageBreakBefore w:val="0"/>
            <w:widowControl w:val="0"/>
            <w:tabs>
              <w:tab w:val="right" w:leader="dot" w:pos="9070"/>
            </w:tabs>
            <w:kinsoku/>
            <w:wordWrap/>
            <w:overflowPunct/>
            <w:topLinePunct w:val="0"/>
            <w:autoSpaceDE w:val="0"/>
            <w:autoSpaceDN w:val="0"/>
            <w:bidi w:val="0"/>
            <w:ind w:firstLine="422" w:firstLineChars="200"/>
            <w:rPr>
              <w:b/>
              <w:bCs w:val="0"/>
              <w:color w:val="auto"/>
              <w:spacing w:val="0"/>
              <w:sz w:val="21"/>
            </w:rPr>
          </w:pPr>
          <w:r>
            <w:rPr>
              <w:rFonts w:ascii="Times New Roman" w:hAnsi="Times New Roman" w:eastAsia="宋体" w:cs="Times New Roman"/>
              <w:b/>
              <w:bCs w:val="0"/>
              <w:color w:val="auto"/>
              <w:spacing w:val="0"/>
              <w:sz w:val="21"/>
              <w:szCs w:val="52"/>
              <w:lang w:val="en-US"/>
            </w:rPr>
            <w:fldChar w:fldCharType="begin"/>
          </w:r>
          <w:r>
            <w:rPr>
              <w:rFonts w:ascii="Times New Roman" w:hAnsi="Times New Roman" w:eastAsia="宋体" w:cs="Times New Roman"/>
              <w:b/>
              <w:bCs w:val="0"/>
              <w:color w:val="auto"/>
              <w:spacing w:val="0"/>
              <w:sz w:val="21"/>
              <w:szCs w:val="52"/>
              <w:lang w:val="en-US"/>
            </w:rPr>
            <w:instrText xml:space="preserve"> HYPERLINK \l _Toc29843 </w:instrText>
          </w:r>
          <w:r>
            <w:rPr>
              <w:rFonts w:ascii="Times New Roman" w:hAnsi="Times New Roman" w:eastAsia="宋体" w:cs="Times New Roman"/>
              <w:b/>
              <w:bCs w:val="0"/>
              <w:color w:val="auto"/>
              <w:spacing w:val="0"/>
              <w:sz w:val="21"/>
              <w:szCs w:val="52"/>
              <w:lang w:val="en-US"/>
            </w:rPr>
            <w:fldChar w:fldCharType="separate"/>
          </w:r>
          <w:r>
            <w:rPr>
              <w:rFonts w:hint="eastAsia"/>
              <w:b/>
              <w:bCs w:val="0"/>
              <w:color w:val="auto"/>
              <w:spacing w:val="0"/>
              <w:sz w:val="21"/>
              <w:szCs w:val="28"/>
            </w:rPr>
            <w:t>（二）裁判员分组和职责</w:t>
          </w:r>
          <w:r>
            <w:rPr>
              <w:rFonts w:hint="eastAsia" w:cs="Times New Roman"/>
              <w:b/>
              <w:bCs w:val="0"/>
              <w:color w:val="auto"/>
              <w:spacing w:val="0"/>
              <w:sz w:val="21"/>
              <w:szCs w:val="52"/>
              <w:lang w:val="en-US" w:eastAsia="zh-CN"/>
            </w:rPr>
            <w:t>..................................................................................................</w:t>
          </w:r>
          <w:r>
            <w:rPr>
              <w:rFonts w:ascii="Times New Roman" w:hAnsi="Times New Roman" w:eastAsia="宋体" w:cs="Times New Roman"/>
              <w:b/>
              <w:bCs w:val="0"/>
              <w:color w:val="auto"/>
              <w:spacing w:val="0"/>
              <w:sz w:val="21"/>
              <w:szCs w:val="52"/>
              <w:lang w:val="en-US"/>
            </w:rPr>
            <w:fldChar w:fldCharType="end"/>
          </w:r>
        </w:p>
        <w:p w14:paraId="27BAA301">
          <w:pPr>
            <w:pStyle w:val="9"/>
            <w:keepNext w:val="0"/>
            <w:keepLines w:val="0"/>
            <w:pageBreakBefore w:val="0"/>
            <w:widowControl w:val="0"/>
            <w:tabs>
              <w:tab w:val="right" w:leader="dot" w:pos="9070"/>
            </w:tabs>
            <w:kinsoku/>
            <w:wordWrap/>
            <w:overflowPunct/>
            <w:topLinePunct w:val="0"/>
            <w:autoSpaceDE w:val="0"/>
            <w:autoSpaceDN w:val="0"/>
            <w:bidi w:val="0"/>
            <w:ind w:firstLine="422" w:firstLineChars="200"/>
            <w:rPr>
              <w:b/>
              <w:bCs w:val="0"/>
              <w:color w:val="auto"/>
            </w:rPr>
          </w:pPr>
          <w:r>
            <w:rPr>
              <w:rFonts w:ascii="Times New Roman" w:hAnsi="Times New Roman" w:eastAsia="宋体" w:cs="Times New Roman"/>
              <w:b/>
              <w:bCs w:val="0"/>
              <w:color w:val="auto"/>
              <w:spacing w:val="0"/>
              <w:sz w:val="21"/>
              <w:szCs w:val="52"/>
              <w:lang w:val="en-US"/>
            </w:rPr>
            <w:fldChar w:fldCharType="begin"/>
          </w:r>
          <w:r>
            <w:rPr>
              <w:rFonts w:ascii="Times New Roman" w:hAnsi="Times New Roman" w:eastAsia="宋体" w:cs="Times New Roman"/>
              <w:b/>
              <w:bCs w:val="0"/>
              <w:color w:val="auto"/>
              <w:spacing w:val="0"/>
              <w:sz w:val="21"/>
              <w:szCs w:val="52"/>
              <w:lang w:val="en-US"/>
            </w:rPr>
            <w:instrText xml:space="preserve"> HYPERLINK \l _Toc14258 </w:instrText>
          </w:r>
          <w:r>
            <w:rPr>
              <w:rFonts w:ascii="Times New Roman" w:hAnsi="Times New Roman" w:eastAsia="宋体" w:cs="Times New Roman"/>
              <w:b/>
              <w:bCs w:val="0"/>
              <w:color w:val="auto"/>
              <w:spacing w:val="0"/>
              <w:sz w:val="21"/>
              <w:szCs w:val="52"/>
              <w:lang w:val="en-US"/>
            </w:rPr>
            <w:fldChar w:fldCharType="separate"/>
          </w:r>
          <w:r>
            <w:rPr>
              <w:rFonts w:hint="eastAsia"/>
              <w:b/>
              <w:bCs w:val="0"/>
              <w:color w:val="auto"/>
              <w:spacing w:val="0"/>
              <w:sz w:val="21"/>
              <w:szCs w:val="28"/>
            </w:rPr>
            <w:t>（三）竞赛实施细则</w:t>
          </w:r>
          <w:r>
            <w:rPr>
              <w:rFonts w:hint="eastAsia" w:cs="Times New Roman"/>
              <w:b/>
              <w:bCs w:val="0"/>
              <w:color w:val="auto"/>
              <w:spacing w:val="0"/>
              <w:sz w:val="21"/>
              <w:szCs w:val="52"/>
              <w:lang w:val="en-US" w:eastAsia="zh-CN"/>
            </w:rPr>
            <w:t>..........................................................................................................</w:t>
          </w:r>
          <w:r>
            <w:rPr>
              <w:rFonts w:ascii="Times New Roman" w:hAnsi="Times New Roman" w:eastAsia="宋体" w:cs="Times New Roman"/>
              <w:b/>
              <w:bCs w:val="0"/>
              <w:color w:val="auto"/>
              <w:spacing w:val="0"/>
              <w:sz w:val="21"/>
              <w:szCs w:val="52"/>
              <w:lang w:val="en-US"/>
            </w:rPr>
            <w:fldChar w:fldCharType="end"/>
          </w:r>
        </w:p>
        <w:p w14:paraId="4ED3073A">
          <w:pPr>
            <w:pStyle w:val="3"/>
            <w:keepNext w:val="0"/>
            <w:keepLines w:val="0"/>
            <w:pageBreakBefore w:val="0"/>
            <w:widowControl w:val="0"/>
            <w:tabs>
              <w:tab w:val="right" w:leader="dot" w:pos="9070"/>
            </w:tabs>
            <w:kinsoku/>
            <w:wordWrap/>
            <w:overflowPunct/>
            <w:topLinePunct w:val="0"/>
            <w:autoSpaceDE w:val="0"/>
            <w:autoSpaceDN w:val="0"/>
            <w:bidi w:val="0"/>
            <w:ind w:firstLine="422" w:firstLineChars="200"/>
            <w:rPr>
              <w:b/>
              <w:bCs w:val="0"/>
              <w:color w:val="auto"/>
              <w:spacing w:val="0"/>
              <w:sz w:val="21"/>
            </w:rPr>
          </w:pPr>
          <w:r>
            <w:rPr>
              <w:rFonts w:ascii="Times New Roman" w:hAnsi="Times New Roman" w:eastAsia="宋体" w:cs="Times New Roman"/>
              <w:b/>
              <w:bCs w:val="0"/>
              <w:color w:val="auto"/>
              <w:spacing w:val="0"/>
              <w:sz w:val="21"/>
              <w:szCs w:val="52"/>
              <w:lang w:val="en-US"/>
            </w:rPr>
            <w:fldChar w:fldCharType="begin"/>
          </w:r>
          <w:r>
            <w:rPr>
              <w:rFonts w:ascii="Times New Roman" w:hAnsi="Times New Roman" w:eastAsia="宋体" w:cs="Times New Roman"/>
              <w:b/>
              <w:bCs w:val="0"/>
              <w:color w:val="auto"/>
              <w:spacing w:val="0"/>
              <w:sz w:val="21"/>
              <w:szCs w:val="52"/>
              <w:lang w:val="en-US"/>
            </w:rPr>
            <w:instrText xml:space="preserve"> HYPERLINK \l _Toc29105 </w:instrText>
          </w:r>
          <w:r>
            <w:rPr>
              <w:rFonts w:ascii="Times New Roman" w:hAnsi="Times New Roman" w:eastAsia="宋体" w:cs="Times New Roman"/>
              <w:b/>
              <w:bCs w:val="0"/>
              <w:color w:val="auto"/>
              <w:spacing w:val="0"/>
              <w:sz w:val="21"/>
              <w:szCs w:val="52"/>
              <w:lang w:val="en-US"/>
            </w:rPr>
            <w:fldChar w:fldCharType="separate"/>
          </w:r>
          <w:r>
            <w:rPr>
              <w:rFonts w:hint="eastAsia" w:ascii="宋体" w:hAnsi="宋体" w:cs="宋体"/>
              <w:b/>
              <w:bCs w:val="0"/>
              <w:color w:val="auto"/>
              <w:spacing w:val="0"/>
              <w:sz w:val="21"/>
              <w:szCs w:val="28"/>
            </w:rPr>
            <w:t>1、</w:t>
          </w:r>
          <w:r>
            <w:rPr>
              <w:rFonts w:hint="eastAsia" w:ascii="宋体" w:hAnsi="宋体" w:cs="宋体"/>
              <w:b/>
              <w:bCs w:val="0"/>
              <w:color w:val="auto"/>
              <w:spacing w:val="0"/>
              <w:sz w:val="21"/>
              <w:szCs w:val="28"/>
              <w:lang w:val="en-US" w:eastAsia="zh-CN"/>
            </w:rPr>
            <w:t>熟悉场地</w:t>
          </w:r>
          <w:r>
            <w:rPr>
              <w:rFonts w:hint="eastAsia" w:cs="Times New Roman"/>
              <w:b/>
              <w:bCs w:val="0"/>
              <w:color w:val="auto"/>
              <w:spacing w:val="0"/>
              <w:sz w:val="21"/>
              <w:szCs w:val="52"/>
              <w:lang w:val="en-US" w:eastAsia="zh-CN"/>
            </w:rPr>
            <w:t>................................................................................................................</w:t>
          </w:r>
          <w:r>
            <w:rPr>
              <w:rFonts w:ascii="Times New Roman" w:hAnsi="Times New Roman" w:eastAsia="宋体" w:cs="Times New Roman"/>
              <w:b/>
              <w:bCs w:val="0"/>
              <w:color w:val="auto"/>
              <w:spacing w:val="0"/>
              <w:sz w:val="21"/>
              <w:szCs w:val="52"/>
              <w:lang w:val="en-US"/>
            </w:rPr>
            <w:fldChar w:fldCharType="end"/>
          </w:r>
        </w:p>
        <w:p w14:paraId="187D63F8">
          <w:pPr>
            <w:pStyle w:val="3"/>
            <w:keepNext w:val="0"/>
            <w:keepLines w:val="0"/>
            <w:pageBreakBefore w:val="0"/>
            <w:widowControl w:val="0"/>
            <w:tabs>
              <w:tab w:val="right" w:leader="dot" w:pos="9070"/>
            </w:tabs>
            <w:kinsoku/>
            <w:wordWrap/>
            <w:overflowPunct/>
            <w:topLinePunct w:val="0"/>
            <w:autoSpaceDE w:val="0"/>
            <w:autoSpaceDN w:val="0"/>
            <w:bidi w:val="0"/>
            <w:ind w:firstLine="422" w:firstLineChars="200"/>
            <w:rPr>
              <w:rFonts w:hint="eastAsia" w:cs="Times New Roman"/>
              <w:b/>
              <w:bCs w:val="0"/>
              <w:color w:val="auto"/>
              <w:spacing w:val="0"/>
              <w:sz w:val="21"/>
              <w:szCs w:val="52"/>
              <w:lang w:val="en-US" w:eastAsia="zh-CN"/>
            </w:rPr>
          </w:pPr>
          <w:r>
            <w:rPr>
              <w:rFonts w:ascii="Times New Roman" w:hAnsi="Times New Roman" w:eastAsia="宋体" w:cs="Times New Roman"/>
              <w:b/>
              <w:bCs w:val="0"/>
              <w:color w:val="auto"/>
              <w:spacing w:val="0"/>
              <w:sz w:val="21"/>
              <w:szCs w:val="52"/>
              <w:lang w:val="en-US"/>
            </w:rPr>
            <w:fldChar w:fldCharType="begin"/>
          </w:r>
          <w:r>
            <w:rPr>
              <w:rFonts w:ascii="Times New Roman" w:hAnsi="Times New Roman" w:eastAsia="宋体" w:cs="Times New Roman"/>
              <w:b/>
              <w:bCs w:val="0"/>
              <w:color w:val="auto"/>
              <w:spacing w:val="0"/>
              <w:sz w:val="21"/>
              <w:szCs w:val="52"/>
              <w:lang w:val="en-US"/>
            </w:rPr>
            <w:instrText xml:space="preserve"> HYPERLINK \l _Toc15316 </w:instrText>
          </w:r>
          <w:r>
            <w:rPr>
              <w:rFonts w:ascii="Times New Roman" w:hAnsi="Times New Roman" w:eastAsia="宋体" w:cs="Times New Roman"/>
              <w:b/>
              <w:bCs w:val="0"/>
              <w:color w:val="auto"/>
              <w:spacing w:val="0"/>
              <w:sz w:val="21"/>
              <w:szCs w:val="52"/>
              <w:lang w:val="en-US"/>
            </w:rPr>
            <w:fldChar w:fldCharType="separate"/>
          </w:r>
          <w:r>
            <w:rPr>
              <w:rFonts w:hint="eastAsia" w:ascii="宋体" w:hAnsi="宋体" w:cs="宋体"/>
              <w:b/>
              <w:bCs w:val="0"/>
              <w:color w:val="auto"/>
              <w:spacing w:val="0"/>
              <w:sz w:val="21"/>
              <w:szCs w:val="28"/>
            </w:rPr>
            <w:t>2、</w:t>
          </w:r>
          <w:r>
            <w:rPr>
              <w:rFonts w:hint="eastAsia" w:ascii="宋体" w:hAnsi="宋体" w:cs="宋体"/>
              <w:b/>
              <w:bCs w:val="0"/>
              <w:color w:val="auto"/>
              <w:spacing w:val="0"/>
              <w:sz w:val="21"/>
              <w:szCs w:val="28"/>
              <w:lang w:val="en-US" w:eastAsia="zh-CN"/>
            </w:rPr>
            <w:t>参赛要求</w:t>
          </w:r>
          <w:r>
            <w:rPr>
              <w:rFonts w:hint="eastAsia" w:cs="Times New Roman"/>
              <w:b/>
              <w:bCs w:val="0"/>
              <w:color w:val="auto"/>
              <w:spacing w:val="0"/>
              <w:sz w:val="21"/>
              <w:szCs w:val="52"/>
              <w:lang w:val="en-US" w:eastAsia="zh-CN"/>
            </w:rPr>
            <w:t>................................................................................................................</w:t>
          </w:r>
        </w:p>
        <w:p w14:paraId="66B12412">
          <w:pPr>
            <w:pStyle w:val="3"/>
            <w:keepNext w:val="0"/>
            <w:keepLines w:val="0"/>
            <w:pageBreakBefore w:val="0"/>
            <w:widowControl w:val="0"/>
            <w:tabs>
              <w:tab w:val="right" w:leader="dot" w:pos="9070"/>
            </w:tabs>
            <w:kinsoku/>
            <w:wordWrap/>
            <w:overflowPunct/>
            <w:topLinePunct w:val="0"/>
            <w:autoSpaceDE w:val="0"/>
            <w:autoSpaceDN w:val="0"/>
            <w:bidi w:val="0"/>
            <w:ind w:firstLine="422" w:firstLineChars="200"/>
            <w:rPr>
              <w:rFonts w:hint="eastAsia" w:cs="Times New Roman"/>
              <w:b/>
              <w:bCs w:val="0"/>
              <w:color w:val="auto"/>
              <w:spacing w:val="0"/>
              <w:sz w:val="21"/>
              <w:szCs w:val="52"/>
              <w:lang w:val="en-US" w:eastAsia="zh-CN"/>
            </w:rPr>
          </w:pPr>
          <w:r>
            <w:rPr>
              <w:rFonts w:hint="eastAsia" w:cs="Times New Roman"/>
              <w:b/>
              <w:bCs w:val="0"/>
              <w:color w:val="auto"/>
              <w:spacing w:val="0"/>
              <w:sz w:val="21"/>
              <w:szCs w:val="52"/>
              <w:lang w:val="en-US" w:eastAsia="zh-CN"/>
            </w:rPr>
            <w:t>3、安全文明操作........................................................................................................</w:t>
          </w:r>
        </w:p>
        <w:p w14:paraId="7F9B671C">
          <w:pPr>
            <w:pStyle w:val="3"/>
            <w:keepNext w:val="0"/>
            <w:keepLines w:val="0"/>
            <w:pageBreakBefore w:val="0"/>
            <w:widowControl w:val="0"/>
            <w:tabs>
              <w:tab w:val="right" w:leader="dot" w:pos="9070"/>
            </w:tabs>
            <w:kinsoku/>
            <w:wordWrap/>
            <w:overflowPunct/>
            <w:topLinePunct w:val="0"/>
            <w:autoSpaceDE w:val="0"/>
            <w:autoSpaceDN w:val="0"/>
            <w:bidi w:val="0"/>
            <w:ind w:firstLine="422" w:firstLineChars="200"/>
            <w:rPr>
              <w:rFonts w:hint="eastAsia" w:cs="Times New Roman"/>
              <w:b/>
              <w:bCs w:val="0"/>
              <w:color w:val="auto"/>
              <w:spacing w:val="0"/>
              <w:sz w:val="21"/>
              <w:szCs w:val="52"/>
              <w:lang w:val="en-US" w:eastAsia="zh-CN"/>
            </w:rPr>
          </w:pPr>
          <w:r>
            <w:rPr>
              <w:rFonts w:hint="eastAsia" w:cs="Times New Roman"/>
              <w:b/>
              <w:bCs w:val="0"/>
              <w:color w:val="auto"/>
              <w:spacing w:val="0"/>
              <w:sz w:val="21"/>
              <w:szCs w:val="52"/>
              <w:lang w:val="en-US" w:eastAsia="zh-CN"/>
            </w:rPr>
            <w:t>4、技术参考规范........................................................................................................</w:t>
          </w:r>
        </w:p>
        <w:p w14:paraId="1B5C28D5">
          <w:pPr>
            <w:pStyle w:val="3"/>
            <w:keepNext w:val="0"/>
            <w:keepLines w:val="0"/>
            <w:pageBreakBefore w:val="0"/>
            <w:widowControl w:val="0"/>
            <w:tabs>
              <w:tab w:val="right" w:leader="dot" w:pos="9070"/>
            </w:tabs>
            <w:kinsoku/>
            <w:wordWrap/>
            <w:overflowPunct/>
            <w:topLinePunct w:val="0"/>
            <w:autoSpaceDE w:val="0"/>
            <w:autoSpaceDN w:val="0"/>
            <w:bidi w:val="0"/>
            <w:ind w:firstLine="422" w:firstLineChars="200"/>
            <w:rPr>
              <w:rFonts w:hint="default" w:cs="Times New Roman"/>
              <w:b/>
              <w:bCs w:val="0"/>
              <w:color w:val="auto"/>
              <w:spacing w:val="0"/>
              <w:sz w:val="21"/>
              <w:szCs w:val="52"/>
              <w:lang w:val="en-US" w:eastAsia="zh-CN"/>
            </w:rPr>
          </w:pPr>
          <w:r>
            <w:rPr>
              <w:rFonts w:hint="eastAsia" w:cs="Times New Roman"/>
              <w:b/>
              <w:bCs w:val="0"/>
              <w:color w:val="auto"/>
              <w:spacing w:val="0"/>
              <w:sz w:val="21"/>
              <w:szCs w:val="52"/>
              <w:lang w:val="en-US" w:eastAsia="zh-CN"/>
            </w:rPr>
            <w:t>5、成绩评定................................................................................................................</w:t>
          </w:r>
        </w:p>
        <w:p w14:paraId="51FBB50F">
          <w:pPr>
            <w:pStyle w:val="3"/>
            <w:keepNext w:val="0"/>
            <w:keepLines w:val="0"/>
            <w:pageBreakBefore w:val="0"/>
            <w:widowControl w:val="0"/>
            <w:tabs>
              <w:tab w:val="right" w:leader="dot" w:pos="9070"/>
            </w:tabs>
            <w:kinsoku/>
            <w:wordWrap/>
            <w:overflowPunct/>
            <w:topLinePunct w:val="0"/>
            <w:autoSpaceDE w:val="0"/>
            <w:autoSpaceDN w:val="0"/>
            <w:bidi w:val="0"/>
            <w:ind w:firstLine="422" w:firstLineChars="200"/>
            <w:rPr>
              <w:rFonts w:hint="default" w:eastAsia="宋体"/>
              <w:b/>
              <w:bCs w:val="0"/>
              <w:color w:val="auto"/>
              <w:lang w:val="en-US" w:eastAsia="zh-CN"/>
            </w:rPr>
          </w:pPr>
          <w:r>
            <w:rPr>
              <w:rFonts w:hint="eastAsia" w:cs="Times New Roman"/>
              <w:b/>
              <w:bCs w:val="0"/>
              <w:color w:val="auto"/>
              <w:spacing w:val="0"/>
              <w:sz w:val="21"/>
              <w:szCs w:val="52"/>
              <w:lang w:val="en-US" w:eastAsia="zh-CN"/>
            </w:rPr>
            <w:t>6、竞赛须知................................................................................................................</w:t>
          </w:r>
          <w:r>
            <w:rPr>
              <w:rFonts w:ascii="Times New Roman" w:hAnsi="Times New Roman" w:eastAsia="宋体" w:cs="Times New Roman"/>
              <w:b/>
              <w:bCs w:val="0"/>
              <w:color w:val="auto"/>
              <w:spacing w:val="0"/>
              <w:sz w:val="21"/>
              <w:szCs w:val="52"/>
              <w:lang w:val="en-US"/>
            </w:rPr>
            <w:fldChar w:fldCharType="end"/>
          </w:r>
        </w:p>
        <w:p w14:paraId="6A44DA3E">
          <w:pPr>
            <w:pStyle w:val="9"/>
            <w:keepNext w:val="0"/>
            <w:keepLines w:val="0"/>
            <w:pageBreakBefore w:val="0"/>
            <w:widowControl w:val="0"/>
            <w:tabs>
              <w:tab w:val="right" w:leader="dot" w:pos="8306"/>
            </w:tabs>
            <w:kinsoku/>
            <w:wordWrap/>
            <w:overflowPunct/>
            <w:topLinePunct w:val="0"/>
            <w:autoSpaceDE w:val="0"/>
            <w:autoSpaceDN w:val="0"/>
            <w:bidi w:val="0"/>
            <w:adjustRightInd w:val="0"/>
            <w:snapToGrid w:val="0"/>
            <w:spacing w:line="240" w:lineRule="auto"/>
            <w:ind w:firstLine="843" w:firstLineChars="400"/>
            <w:rPr>
              <w:b/>
              <w:bCs w:val="0"/>
              <w:color w:val="auto"/>
              <w:spacing w:val="-6"/>
            </w:rPr>
          </w:pPr>
          <w:r>
            <w:rPr>
              <w:rFonts w:ascii="Times New Roman" w:hAnsi="Times New Roman" w:eastAsia="宋体" w:cs="Times New Roman"/>
              <w:b/>
              <w:bCs w:val="0"/>
              <w:color w:val="auto"/>
              <w:spacing w:val="0"/>
              <w:sz w:val="21"/>
              <w:szCs w:val="52"/>
              <w:lang w:val="en-US"/>
            </w:rPr>
            <w:fldChar w:fldCharType="begin"/>
          </w:r>
          <w:r>
            <w:rPr>
              <w:rFonts w:ascii="Times New Roman" w:hAnsi="Times New Roman" w:eastAsia="宋体" w:cs="Times New Roman"/>
              <w:b/>
              <w:bCs w:val="0"/>
              <w:color w:val="auto"/>
              <w:spacing w:val="0"/>
              <w:sz w:val="21"/>
              <w:szCs w:val="52"/>
              <w:lang w:val="en-US"/>
            </w:rPr>
            <w:instrText xml:space="preserve"> HYPERLINK \l _Toc30463 </w:instrText>
          </w:r>
          <w:r>
            <w:rPr>
              <w:rFonts w:ascii="Times New Roman" w:hAnsi="Times New Roman" w:eastAsia="宋体" w:cs="Times New Roman"/>
              <w:b/>
              <w:bCs w:val="0"/>
              <w:color w:val="auto"/>
              <w:spacing w:val="0"/>
              <w:sz w:val="21"/>
              <w:szCs w:val="52"/>
              <w:lang w:val="en-US"/>
            </w:rPr>
            <w:fldChar w:fldCharType="separate"/>
          </w:r>
          <w:r>
            <w:rPr>
              <w:rFonts w:hint="eastAsia" w:cs="Times New Roman"/>
              <w:b/>
              <w:bCs w:val="0"/>
              <w:color w:val="auto"/>
              <w:spacing w:val="0"/>
              <w:sz w:val="21"/>
              <w:szCs w:val="52"/>
              <w:lang w:val="en-US" w:eastAsia="zh-CN"/>
            </w:rPr>
            <w:t>7</w:t>
          </w:r>
          <w:r>
            <w:rPr>
              <w:rFonts w:hint="eastAsia" w:ascii="宋体" w:hAnsi="宋体" w:cs="宋体"/>
              <w:b/>
              <w:bCs w:val="0"/>
              <w:color w:val="auto"/>
              <w:spacing w:val="0"/>
              <w:sz w:val="21"/>
              <w:szCs w:val="28"/>
            </w:rPr>
            <w:t>、</w:t>
          </w:r>
          <w:r>
            <w:rPr>
              <w:rFonts w:hint="eastAsia" w:ascii="宋体" w:hAnsi="宋体" w:eastAsia="宋体" w:cs="宋体"/>
              <w:b/>
              <w:bCs w:val="0"/>
              <w:color w:val="auto"/>
              <w:spacing w:val="0"/>
              <w:kern w:val="2"/>
              <w:sz w:val="21"/>
              <w:szCs w:val="21"/>
              <w:lang w:val="en-US" w:eastAsia="zh-CN" w:bidi="ar-SA"/>
            </w:rPr>
            <w:t>申诉与仲裁</w:t>
          </w:r>
          <w:r>
            <w:rPr>
              <w:rFonts w:hint="eastAsia" w:cs="Times New Roman"/>
              <w:b/>
              <w:bCs w:val="0"/>
              <w:color w:val="auto"/>
              <w:spacing w:val="0"/>
              <w:sz w:val="21"/>
              <w:szCs w:val="52"/>
              <w:lang w:val="en-US" w:eastAsia="zh-CN"/>
            </w:rPr>
            <w:t>............................................................................................................</w:t>
          </w:r>
          <w:r>
            <w:rPr>
              <w:rFonts w:ascii="Times New Roman" w:hAnsi="Times New Roman" w:eastAsia="宋体" w:cs="Times New Roman"/>
              <w:b/>
              <w:bCs w:val="0"/>
              <w:color w:val="auto"/>
              <w:spacing w:val="0"/>
              <w:sz w:val="21"/>
              <w:szCs w:val="52"/>
              <w:lang w:val="en-US"/>
            </w:rPr>
            <w:fldChar w:fldCharType="end"/>
          </w:r>
        </w:p>
        <w:p w14:paraId="2CC8D977">
          <w:pPr>
            <w:pStyle w:val="7"/>
            <w:keepNext w:val="0"/>
            <w:keepLines w:val="0"/>
            <w:pageBreakBefore w:val="0"/>
            <w:widowControl w:val="0"/>
            <w:tabs>
              <w:tab w:val="right" w:leader="dot" w:pos="8306"/>
            </w:tabs>
            <w:kinsoku/>
            <w:wordWrap/>
            <w:overflowPunct/>
            <w:topLinePunct w:val="0"/>
            <w:autoSpaceDE w:val="0"/>
            <w:autoSpaceDN w:val="0"/>
            <w:bidi w:val="0"/>
            <w:adjustRightInd w:val="0"/>
            <w:snapToGrid w:val="0"/>
            <w:spacing w:line="240" w:lineRule="auto"/>
            <w:ind w:firstLine="398" w:firstLineChars="200"/>
            <w:rPr>
              <w:b/>
              <w:bCs w:val="0"/>
              <w:color w:val="auto"/>
              <w:spacing w:val="-6"/>
            </w:rPr>
          </w:pPr>
          <w:r>
            <w:rPr>
              <w:rFonts w:hint="eastAsia"/>
              <w:b/>
              <w:bCs w:val="0"/>
              <w:color w:val="auto"/>
              <w:spacing w:val="-6"/>
              <w:lang w:val="en-US" w:eastAsia="zh-CN"/>
            </w:rPr>
            <w:t>四、</w:t>
          </w:r>
          <w:r>
            <w:rPr>
              <w:b/>
              <w:bCs w:val="0"/>
              <w:color w:val="auto"/>
              <w:spacing w:val="-6"/>
            </w:rPr>
            <w:fldChar w:fldCharType="begin"/>
          </w:r>
          <w:r>
            <w:rPr>
              <w:b/>
              <w:bCs w:val="0"/>
              <w:color w:val="auto"/>
              <w:spacing w:val="-6"/>
            </w:rPr>
            <w:instrText xml:space="preserve"> HYPERLINK \l _Toc21088 </w:instrText>
          </w:r>
          <w:r>
            <w:rPr>
              <w:b/>
              <w:bCs w:val="0"/>
              <w:color w:val="auto"/>
              <w:spacing w:val="-6"/>
            </w:rPr>
            <w:fldChar w:fldCharType="separate"/>
          </w:r>
          <w:r>
            <w:rPr>
              <w:rFonts w:hint="eastAsia" w:ascii="黑体" w:hAnsi="黑体" w:eastAsia="黑体" w:cs="黑体"/>
              <w:b/>
              <w:bCs w:val="0"/>
              <w:color w:val="auto"/>
              <w:spacing w:val="-6"/>
              <w:lang w:val="en-US" w:eastAsia="zh-CN"/>
            </w:rPr>
            <w:t>竞赛场地、设施设备等安排</w:t>
          </w:r>
          <w:r>
            <w:rPr>
              <w:b/>
              <w:bCs w:val="0"/>
              <w:color w:val="auto"/>
              <w:spacing w:val="-6"/>
            </w:rPr>
            <w:tab/>
          </w:r>
          <w:r>
            <w:rPr>
              <w:b/>
              <w:bCs w:val="0"/>
              <w:color w:val="auto"/>
              <w:spacing w:val="-6"/>
            </w:rPr>
            <w:fldChar w:fldCharType="end"/>
          </w:r>
        </w:p>
        <w:p w14:paraId="739B553A">
          <w:pPr>
            <w:pStyle w:val="9"/>
            <w:keepNext w:val="0"/>
            <w:keepLines w:val="0"/>
            <w:pageBreakBefore w:val="0"/>
            <w:widowControl w:val="0"/>
            <w:tabs>
              <w:tab w:val="right" w:leader="dot" w:pos="9070"/>
            </w:tabs>
            <w:kinsoku/>
            <w:wordWrap/>
            <w:overflowPunct/>
            <w:topLinePunct w:val="0"/>
            <w:autoSpaceDE w:val="0"/>
            <w:autoSpaceDN w:val="0"/>
            <w:bidi w:val="0"/>
            <w:ind w:firstLine="422" w:firstLineChars="200"/>
            <w:rPr>
              <w:b/>
              <w:bCs w:val="0"/>
              <w:color w:val="auto"/>
              <w:spacing w:val="0"/>
              <w:sz w:val="21"/>
            </w:rPr>
          </w:pPr>
          <w:r>
            <w:rPr>
              <w:rFonts w:ascii="Times New Roman" w:hAnsi="Times New Roman" w:eastAsia="宋体" w:cs="Times New Roman"/>
              <w:b/>
              <w:bCs w:val="0"/>
              <w:color w:val="auto"/>
              <w:spacing w:val="0"/>
              <w:sz w:val="21"/>
              <w:szCs w:val="52"/>
              <w:lang w:val="en-US"/>
            </w:rPr>
            <w:fldChar w:fldCharType="begin"/>
          </w:r>
          <w:r>
            <w:rPr>
              <w:rFonts w:ascii="Times New Roman" w:hAnsi="Times New Roman" w:eastAsia="宋体" w:cs="Times New Roman"/>
              <w:b/>
              <w:bCs w:val="0"/>
              <w:color w:val="auto"/>
              <w:spacing w:val="0"/>
              <w:sz w:val="21"/>
              <w:szCs w:val="52"/>
              <w:lang w:val="en-US"/>
            </w:rPr>
            <w:instrText xml:space="preserve"> HYPERLINK \l _Toc10714 </w:instrText>
          </w:r>
          <w:r>
            <w:rPr>
              <w:rFonts w:ascii="Times New Roman" w:hAnsi="Times New Roman" w:eastAsia="宋体" w:cs="Times New Roman"/>
              <w:b/>
              <w:bCs w:val="0"/>
              <w:color w:val="auto"/>
              <w:spacing w:val="0"/>
              <w:sz w:val="21"/>
              <w:szCs w:val="52"/>
              <w:lang w:val="en-US"/>
            </w:rPr>
            <w:fldChar w:fldCharType="separate"/>
          </w:r>
          <w:r>
            <w:rPr>
              <w:rFonts w:hint="eastAsia" w:ascii="宋体" w:hAnsi="宋体" w:cs="宋体"/>
              <w:b/>
              <w:bCs w:val="0"/>
              <w:color w:val="auto"/>
              <w:spacing w:val="0"/>
              <w:sz w:val="21"/>
              <w:szCs w:val="28"/>
            </w:rPr>
            <w:t>（一）赛场规格要求</w:t>
          </w:r>
          <w:r>
            <w:rPr>
              <w:rFonts w:hint="eastAsia" w:cs="Times New Roman"/>
              <w:b/>
              <w:bCs w:val="0"/>
              <w:color w:val="auto"/>
              <w:spacing w:val="0"/>
              <w:sz w:val="21"/>
              <w:szCs w:val="52"/>
              <w:lang w:val="en-US" w:eastAsia="zh-CN"/>
            </w:rPr>
            <w:t>..........................................................................................................</w:t>
          </w:r>
          <w:r>
            <w:rPr>
              <w:rFonts w:ascii="Times New Roman" w:hAnsi="Times New Roman" w:eastAsia="宋体" w:cs="Times New Roman"/>
              <w:b/>
              <w:bCs w:val="0"/>
              <w:color w:val="auto"/>
              <w:spacing w:val="0"/>
              <w:sz w:val="21"/>
              <w:szCs w:val="52"/>
              <w:lang w:val="en-US"/>
            </w:rPr>
            <w:fldChar w:fldCharType="end"/>
          </w:r>
        </w:p>
        <w:p w14:paraId="42194979">
          <w:pPr>
            <w:pStyle w:val="9"/>
            <w:keepNext w:val="0"/>
            <w:keepLines w:val="0"/>
            <w:pageBreakBefore w:val="0"/>
            <w:widowControl w:val="0"/>
            <w:tabs>
              <w:tab w:val="right" w:leader="dot" w:pos="9070"/>
            </w:tabs>
            <w:kinsoku/>
            <w:wordWrap/>
            <w:overflowPunct/>
            <w:topLinePunct w:val="0"/>
            <w:autoSpaceDE w:val="0"/>
            <w:autoSpaceDN w:val="0"/>
            <w:bidi w:val="0"/>
            <w:ind w:firstLine="422" w:firstLineChars="200"/>
            <w:rPr>
              <w:b/>
              <w:bCs w:val="0"/>
              <w:color w:val="auto"/>
            </w:rPr>
          </w:pPr>
          <w:r>
            <w:rPr>
              <w:rFonts w:ascii="Times New Roman" w:hAnsi="Times New Roman" w:eastAsia="宋体" w:cs="Times New Roman"/>
              <w:b/>
              <w:bCs w:val="0"/>
              <w:color w:val="auto"/>
              <w:spacing w:val="0"/>
              <w:sz w:val="21"/>
              <w:szCs w:val="52"/>
              <w:lang w:val="en-US"/>
            </w:rPr>
            <w:fldChar w:fldCharType="begin"/>
          </w:r>
          <w:r>
            <w:rPr>
              <w:rFonts w:ascii="Times New Roman" w:hAnsi="Times New Roman" w:eastAsia="宋体" w:cs="Times New Roman"/>
              <w:b/>
              <w:bCs w:val="0"/>
              <w:color w:val="auto"/>
              <w:spacing w:val="0"/>
              <w:sz w:val="21"/>
              <w:szCs w:val="52"/>
              <w:lang w:val="en-US"/>
            </w:rPr>
            <w:instrText xml:space="preserve"> HYPERLINK \l _Toc18255 </w:instrText>
          </w:r>
          <w:r>
            <w:rPr>
              <w:rFonts w:ascii="Times New Roman" w:hAnsi="Times New Roman" w:eastAsia="宋体" w:cs="Times New Roman"/>
              <w:b/>
              <w:bCs w:val="0"/>
              <w:color w:val="auto"/>
              <w:spacing w:val="0"/>
              <w:sz w:val="21"/>
              <w:szCs w:val="52"/>
              <w:lang w:val="en-US"/>
            </w:rPr>
            <w:fldChar w:fldCharType="separate"/>
          </w:r>
          <w:r>
            <w:rPr>
              <w:rFonts w:hint="eastAsia" w:ascii="宋体" w:hAnsi="宋体" w:cs="宋体"/>
              <w:b/>
              <w:bCs w:val="0"/>
              <w:color w:val="auto"/>
              <w:spacing w:val="0"/>
              <w:sz w:val="21"/>
              <w:szCs w:val="28"/>
            </w:rPr>
            <w:t>（二）场地</w:t>
          </w:r>
          <w:r>
            <w:rPr>
              <w:rFonts w:hint="eastAsia" w:ascii="宋体" w:hAnsi="宋体" w:cs="宋体"/>
              <w:b/>
              <w:bCs w:val="0"/>
              <w:color w:val="auto"/>
              <w:spacing w:val="0"/>
              <w:sz w:val="21"/>
              <w:szCs w:val="28"/>
              <w:lang w:val="en-US" w:eastAsia="zh-CN"/>
            </w:rPr>
            <w:t>设施</w:t>
          </w:r>
          <w:r>
            <w:rPr>
              <w:rFonts w:hint="eastAsia" w:cs="Times New Roman"/>
              <w:b/>
              <w:bCs w:val="0"/>
              <w:color w:val="auto"/>
              <w:spacing w:val="0"/>
              <w:sz w:val="21"/>
              <w:szCs w:val="52"/>
              <w:lang w:val="en-US" w:eastAsia="zh-CN"/>
            </w:rPr>
            <w:t>..................................................................................................................</w:t>
          </w:r>
          <w:r>
            <w:rPr>
              <w:rFonts w:ascii="Times New Roman" w:hAnsi="Times New Roman" w:eastAsia="宋体" w:cs="Times New Roman"/>
              <w:b/>
              <w:bCs w:val="0"/>
              <w:color w:val="auto"/>
              <w:spacing w:val="0"/>
              <w:sz w:val="21"/>
              <w:szCs w:val="52"/>
              <w:lang w:val="en-US"/>
            </w:rPr>
            <w:fldChar w:fldCharType="end"/>
          </w:r>
        </w:p>
        <w:p w14:paraId="5997362D">
          <w:pPr>
            <w:pStyle w:val="3"/>
            <w:keepNext w:val="0"/>
            <w:keepLines w:val="0"/>
            <w:pageBreakBefore w:val="0"/>
            <w:widowControl w:val="0"/>
            <w:tabs>
              <w:tab w:val="right" w:leader="dot" w:pos="9070"/>
            </w:tabs>
            <w:kinsoku/>
            <w:wordWrap/>
            <w:overflowPunct/>
            <w:topLinePunct w:val="0"/>
            <w:autoSpaceDE w:val="0"/>
            <w:autoSpaceDN w:val="0"/>
            <w:bidi w:val="0"/>
            <w:ind w:firstLine="422" w:firstLineChars="200"/>
            <w:rPr>
              <w:b/>
              <w:bCs w:val="0"/>
              <w:color w:val="auto"/>
              <w:spacing w:val="0"/>
              <w:sz w:val="21"/>
            </w:rPr>
          </w:pPr>
          <w:r>
            <w:rPr>
              <w:rFonts w:ascii="Times New Roman" w:hAnsi="Times New Roman" w:eastAsia="宋体" w:cs="Times New Roman"/>
              <w:b/>
              <w:bCs w:val="0"/>
              <w:color w:val="auto"/>
              <w:spacing w:val="0"/>
              <w:sz w:val="21"/>
              <w:szCs w:val="52"/>
              <w:lang w:val="en-US"/>
            </w:rPr>
            <w:fldChar w:fldCharType="begin"/>
          </w:r>
          <w:r>
            <w:rPr>
              <w:rFonts w:ascii="Times New Roman" w:hAnsi="Times New Roman" w:eastAsia="宋体" w:cs="Times New Roman"/>
              <w:b/>
              <w:bCs w:val="0"/>
              <w:color w:val="auto"/>
              <w:spacing w:val="0"/>
              <w:sz w:val="21"/>
              <w:szCs w:val="52"/>
              <w:lang w:val="en-US"/>
            </w:rPr>
            <w:instrText xml:space="preserve"> HYPERLINK \l _Toc8466 </w:instrText>
          </w:r>
          <w:r>
            <w:rPr>
              <w:rFonts w:ascii="Times New Roman" w:hAnsi="Times New Roman" w:eastAsia="宋体" w:cs="Times New Roman"/>
              <w:b/>
              <w:bCs w:val="0"/>
              <w:color w:val="auto"/>
              <w:spacing w:val="0"/>
              <w:sz w:val="21"/>
              <w:szCs w:val="52"/>
              <w:lang w:val="en-US"/>
            </w:rPr>
            <w:fldChar w:fldCharType="separate"/>
          </w:r>
          <w:r>
            <w:rPr>
              <w:rFonts w:hint="eastAsia" w:ascii="宋体" w:hAnsi="宋体" w:eastAsia="宋体" w:cs="宋体"/>
              <w:b/>
              <w:bCs w:val="0"/>
              <w:color w:val="auto"/>
              <w:spacing w:val="0"/>
              <w:sz w:val="21"/>
              <w:szCs w:val="28"/>
              <w:lang w:val="en-US"/>
            </w:rPr>
            <w:t>1、场地设施</w:t>
          </w:r>
          <w:r>
            <w:rPr>
              <w:rFonts w:hint="eastAsia"/>
              <w:b/>
              <w:bCs w:val="0"/>
              <w:color w:val="auto"/>
              <w:spacing w:val="0"/>
              <w:sz w:val="21"/>
              <w:szCs w:val="28"/>
              <w:lang w:val="en-US"/>
            </w:rPr>
            <w:t>设</w:t>
          </w:r>
          <w:r>
            <w:rPr>
              <w:rFonts w:hint="eastAsia" w:eastAsia="宋体"/>
              <w:b/>
              <w:bCs w:val="0"/>
              <w:color w:val="auto"/>
              <w:spacing w:val="0"/>
              <w:sz w:val="21"/>
              <w:szCs w:val="28"/>
              <w:lang w:val="en-US"/>
            </w:rPr>
            <w:t>备清单</w:t>
          </w:r>
          <w:r>
            <w:rPr>
              <w:rFonts w:hint="eastAsia" w:cs="Times New Roman"/>
              <w:b/>
              <w:bCs w:val="0"/>
              <w:color w:val="auto"/>
              <w:spacing w:val="0"/>
              <w:sz w:val="21"/>
              <w:szCs w:val="52"/>
              <w:lang w:val="en-US" w:eastAsia="zh-CN"/>
            </w:rPr>
            <w:t>................................................................................................</w:t>
          </w:r>
          <w:r>
            <w:rPr>
              <w:rFonts w:ascii="Times New Roman" w:hAnsi="Times New Roman" w:eastAsia="宋体" w:cs="Times New Roman"/>
              <w:b/>
              <w:bCs w:val="0"/>
              <w:color w:val="auto"/>
              <w:spacing w:val="0"/>
              <w:sz w:val="21"/>
              <w:szCs w:val="52"/>
              <w:lang w:val="en-US"/>
            </w:rPr>
            <w:fldChar w:fldCharType="end"/>
          </w:r>
        </w:p>
        <w:p w14:paraId="64B48FD8">
          <w:pPr>
            <w:pStyle w:val="3"/>
            <w:keepNext w:val="0"/>
            <w:keepLines w:val="0"/>
            <w:pageBreakBefore w:val="0"/>
            <w:widowControl w:val="0"/>
            <w:tabs>
              <w:tab w:val="right" w:leader="dot" w:pos="9070"/>
            </w:tabs>
            <w:kinsoku/>
            <w:wordWrap/>
            <w:overflowPunct/>
            <w:topLinePunct w:val="0"/>
            <w:autoSpaceDE w:val="0"/>
            <w:autoSpaceDN w:val="0"/>
            <w:bidi w:val="0"/>
            <w:ind w:firstLine="422" w:firstLineChars="200"/>
            <w:rPr>
              <w:b/>
              <w:bCs w:val="0"/>
              <w:color w:val="auto"/>
              <w:spacing w:val="0"/>
              <w:sz w:val="21"/>
            </w:rPr>
          </w:pPr>
          <w:r>
            <w:rPr>
              <w:rFonts w:ascii="Times New Roman" w:hAnsi="Times New Roman" w:eastAsia="宋体" w:cs="Times New Roman"/>
              <w:b/>
              <w:bCs w:val="0"/>
              <w:color w:val="auto"/>
              <w:spacing w:val="0"/>
              <w:sz w:val="21"/>
              <w:szCs w:val="52"/>
              <w:lang w:val="en-US"/>
            </w:rPr>
            <w:fldChar w:fldCharType="begin"/>
          </w:r>
          <w:r>
            <w:rPr>
              <w:rFonts w:ascii="Times New Roman" w:hAnsi="Times New Roman" w:eastAsia="宋体" w:cs="Times New Roman"/>
              <w:b/>
              <w:bCs w:val="0"/>
              <w:color w:val="auto"/>
              <w:spacing w:val="0"/>
              <w:sz w:val="21"/>
              <w:szCs w:val="52"/>
              <w:lang w:val="en-US"/>
            </w:rPr>
            <w:instrText xml:space="preserve"> HYPERLINK \l _Toc27702 </w:instrText>
          </w:r>
          <w:r>
            <w:rPr>
              <w:rFonts w:ascii="Times New Roman" w:hAnsi="Times New Roman" w:eastAsia="宋体" w:cs="Times New Roman"/>
              <w:b/>
              <w:bCs w:val="0"/>
              <w:color w:val="auto"/>
              <w:spacing w:val="0"/>
              <w:sz w:val="21"/>
              <w:szCs w:val="52"/>
              <w:lang w:val="en-US"/>
            </w:rPr>
            <w:fldChar w:fldCharType="separate"/>
          </w:r>
          <w:r>
            <w:rPr>
              <w:rFonts w:hint="eastAsia" w:cs="Times New Roman"/>
              <w:b/>
              <w:bCs w:val="0"/>
              <w:color w:val="auto"/>
              <w:spacing w:val="0"/>
              <w:sz w:val="21"/>
              <w:szCs w:val="52"/>
              <w:lang w:val="en-US" w:eastAsia="zh-CN"/>
            </w:rPr>
            <w:t>2</w:t>
          </w:r>
          <w:r>
            <w:rPr>
              <w:rFonts w:hint="eastAsia" w:ascii="宋体" w:hAnsi="宋体" w:eastAsia="宋体" w:cs="宋体"/>
              <w:b/>
              <w:bCs w:val="0"/>
              <w:color w:val="auto"/>
              <w:spacing w:val="0"/>
              <w:sz w:val="21"/>
              <w:szCs w:val="28"/>
              <w:lang w:val="en-US"/>
            </w:rPr>
            <w:t>、</w:t>
          </w:r>
          <w:r>
            <w:rPr>
              <w:rFonts w:hint="eastAsia" w:ascii="宋体" w:hAnsi="宋体" w:eastAsia="宋体" w:cs="宋体"/>
              <w:b/>
              <w:bCs w:val="0"/>
              <w:color w:val="auto"/>
              <w:spacing w:val="0"/>
              <w:sz w:val="21"/>
              <w:szCs w:val="28"/>
            </w:rPr>
            <w:t>选手自备的设备和工具</w:t>
          </w:r>
          <w:r>
            <w:rPr>
              <w:rFonts w:hint="eastAsia" w:cs="Times New Roman"/>
              <w:b/>
              <w:bCs w:val="0"/>
              <w:color w:val="auto"/>
              <w:spacing w:val="0"/>
              <w:sz w:val="21"/>
              <w:szCs w:val="52"/>
              <w:lang w:val="en-US" w:eastAsia="zh-CN"/>
            </w:rPr>
            <w:t>........................................................................................</w:t>
          </w:r>
          <w:r>
            <w:rPr>
              <w:rFonts w:ascii="Times New Roman" w:hAnsi="Times New Roman" w:eastAsia="宋体" w:cs="Times New Roman"/>
              <w:b/>
              <w:bCs w:val="0"/>
              <w:color w:val="auto"/>
              <w:spacing w:val="0"/>
              <w:sz w:val="21"/>
              <w:szCs w:val="52"/>
              <w:lang w:val="en-US"/>
            </w:rPr>
            <w:fldChar w:fldCharType="end"/>
          </w:r>
        </w:p>
        <w:p w14:paraId="1CF70A5E">
          <w:pPr>
            <w:pStyle w:val="7"/>
            <w:keepNext w:val="0"/>
            <w:keepLines w:val="0"/>
            <w:pageBreakBefore w:val="0"/>
            <w:widowControl w:val="0"/>
            <w:tabs>
              <w:tab w:val="right" w:leader="dot" w:pos="8306"/>
            </w:tabs>
            <w:kinsoku/>
            <w:wordWrap/>
            <w:overflowPunct/>
            <w:topLinePunct w:val="0"/>
            <w:autoSpaceDE w:val="0"/>
            <w:autoSpaceDN w:val="0"/>
            <w:bidi w:val="0"/>
            <w:adjustRightInd w:val="0"/>
            <w:snapToGrid w:val="0"/>
            <w:spacing w:line="240" w:lineRule="auto"/>
            <w:ind w:firstLine="422" w:firstLineChars="200"/>
            <w:rPr>
              <w:rFonts w:hint="default" w:eastAsia="宋体"/>
              <w:b/>
              <w:bCs w:val="0"/>
              <w:color w:val="auto"/>
              <w:spacing w:val="0"/>
              <w:sz w:val="21"/>
              <w:lang w:val="en-US" w:eastAsia="zh-CN"/>
            </w:rPr>
          </w:pPr>
          <w:r>
            <w:rPr>
              <w:b/>
              <w:bCs w:val="0"/>
              <w:color w:val="auto"/>
              <w:spacing w:val="0"/>
              <w:sz w:val="21"/>
            </w:rPr>
            <w:fldChar w:fldCharType="begin"/>
          </w:r>
          <w:r>
            <w:rPr>
              <w:b/>
              <w:bCs w:val="0"/>
              <w:color w:val="auto"/>
              <w:spacing w:val="0"/>
              <w:sz w:val="21"/>
            </w:rPr>
            <w:instrText xml:space="preserve"> HYPERLINK \l _Toc10793 </w:instrText>
          </w:r>
          <w:r>
            <w:rPr>
              <w:b/>
              <w:bCs w:val="0"/>
              <w:color w:val="auto"/>
              <w:spacing w:val="0"/>
              <w:sz w:val="21"/>
            </w:rPr>
            <w:fldChar w:fldCharType="separate"/>
          </w:r>
          <w:r>
            <w:rPr>
              <w:rFonts w:hint="eastAsia" w:ascii="黑体" w:hAnsi="黑体" w:eastAsia="黑体" w:cs="黑体"/>
              <w:b/>
              <w:bCs w:val="0"/>
              <w:color w:val="auto"/>
              <w:spacing w:val="0"/>
              <w:sz w:val="21"/>
              <w:lang w:val="en-US" w:eastAsia="zh-CN"/>
            </w:rPr>
            <w:t>五、</w:t>
          </w:r>
          <w:r>
            <w:rPr>
              <w:rFonts w:hint="eastAsia"/>
              <w:b/>
              <w:bCs w:val="0"/>
              <w:color w:val="auto"/>
              <w:spacing w:val="0"/>
              <w:sz w:val="21"/>
              <w:szCs w:val="32"/>
            </w:rPr>
            <w:t>健康、安全和环保要求</w:t>
          </w:r>
          <w:r>
            <w:rPr>
              <w:b/>
              <w:bCs w:val="0"/>
              <w:color w:val="auto"/>
              <w:spacing w:val="0"/>
              <w:sz w:val="21"/>
            </w:rPr>
            <w:tab/>
          </w:r>
          <w:r>
            <w:rPr>
              <w:b/>
              <w:bCs w:val="0"/>
              <w:color w:val="auto"/>
              <w:spacing w:val="0"/>
              <w:sz w:val="21"/>
            </w:rPr>
            <w:fldChar w:fldCharType="end"/>
          </w:r>
          <w:r>
            <w:rPr>
              <w:rFonts w:hint="eastAsia"/>
              <w:b/>
              <w:bCs w:val="0"/>
              <w:color w:val="auto"/>
              <w:spacing w:val="0"/>
              <w:sz w:val="21"/>
              <w:lang w:val="en-US" w:eastAsia="zh-CN"/>
            </w:rPr>
            <w:t>...</w:t>
          </w:r>
        </w:p>
        <w:p w14:paraId="26D547D1">
          <w:pPr>
            <w:pStyle w:val="9"/>
            <w:keepNext w:val="0"/>
            <w:keepLines w:val="0"/>
            <w:pageBreakBefore w:val="0"/>
            <w:widowControl w:val="0"/>
            <w:tabs>
              <w:tab w:val="right" w:leader="dot" w:pos="9070"/>
            </w:tabs>
            <w:kinsoku/>
            <w:wordWrap/>
            <w:overflowPunct/>
            <w:topLinePunct w:val="0"/>
            <w:autoSpaceDE w:val="0"/>
            <w:autoSpaceDN w:val="0"/>
            <w:bidi w:val="0"/>
            <w:ind w:firstLine="422" w:firstLineChars="200"/>
            <w:rPr>
              <w:b/>
              <w:bCs w:val="0"/>
              <w:color w:val="auto"/>
              <w:spacing w:val="0"/>
              <w:sz w:val="21"/>
            </w:rPr>
          </w:pPr>
          <w:r>
            <w:rPr>
              <w:rFonts w:ascii="Times New Roman" w:hAnsi="Times New Roman" w:eastAsia="宋体" w:cs="Times New Roman"/>
              <w:b/>
              <w:bCs w:val="0"/>
              <w:color w:val="auto"/>
              <w:spacing w:val="0"/>
              <w:sz w:val="21"/>
              <w:szCs w:val="52"/>
              <w:lang w:val="en-US"/>
            </w:rPr>
            <w:fldChar w:fldCharType="begin"/>
          </w:r>
          <w:r>
            <w:rPr>
              <w:rFonts w:ascii="Times New Roman" w:hAnsi="Times New Roman" w:eastAsia="宋体" w:cs="Times New Roman"/>
              <w:b/>
              <w:bCs w:val="0"/>
              <w:color w:val="auto"/>
              <w:spacing w:val="0"/>
              <w:sz w:val="21"/>
              <w:szCs w:val="52"/>
              <w:lang w:val="en-US"/>
            </w:rPr>
            <w:instrText xml:space="preserve"> HYPERLINK \l _Toc31456 </w:instrText>
          </w:r>
          <w:r>
            <w:rPr>
              <w:rFonts w:ascii="Times New Roman" w:hAnsi="Times New Roman" w:eastAsia="宋体" w:cs="Times New Roman"/>
              <w:b/>
              <w:bCs w:val="0"/>
              <w:color w:val="auto"/>
              <w:spacing w:val="0"/>
              <w:sz w:val="21"/>
              <w:szCs w:val="52"/>
              <w:lang w:val="en-US"/>
            </w:rPr>
            <w:fldChar w:fldCharType="separate"/>
          </w:r>
          <w:r>
            <w:rPr>
              <w:rFonts w:hint="eastAsia" w:ascii="宋体" w:hAnsi="宋体" w:cs="宋体"/>
              <w:b/>
              <w:bCs w:val="0"/>
              <w:color w:val="auto"/>
              <w:spacing w:val="0"/>
              <w:sz w:val="21"/>
              <w:szCs w:val="28"/>
            </w:rPr>
            <w:t>（一）赛场预案</w:t>
          </w:r>
          <w:r>
            <w:rPr>
              <w:rFonts w:hint="eastAsia" w:cs="Times New Roman"/>
              <w:b/>
              <w:bCs w:val="0"/>
              <w:color w:val="auto"/>
              <w:spacing w:val="0"/>
              <w:sz w:val="21"/>
              <w:szCs w:val="52"/>
              <w:lang w:val="en-US" w:eastAsia="zh-CN"/>
            </w:rPr>
            <w:t>..................................................................................................................</w:t>
          </w:r>
          <w:r>
            <w:rPr>
              <w:rFonts w:ascii="Times New Roman" w:hAnsi="Times New Roman" w:eastAsia="宋体" w:cs="Times New Roman"/>
              <w:b/>
              <w:bCs w:val="0"/>
              <w:color w:val="auto"/>
              <w:spacing w:val="0"/>
              <w:sz w:val="21"/>
              <w:szCs w:val="52"/>
              <w:lang w:val="en-US"/>
            </w:rPr>
            <w:fldChar w:fldCharType="end"/>
          </w:r>
        </w:p>
        <w:p w14:paraId="3DBDADD9">
          <w:pPr>
            <w:pStyle w:val="9"/>
            <w:keepNext w:val="0"/>
            <w:keepLines w:val="0"/>
            <w:pageBreakBefore w:val="0"/>
            <w:widowControl w:val="0"/>
            <w:tabs>
              <w:tab w:val="right" w:leader="dot" w:pos="9070"/>
            </w:tabs>
            <w:kinsoku/>
            <w:wordWrap/>
            <w:overflowPunct/>
            <w:topLinePunct w:val="0"/>
            <w:autoSpaceDE w:val="0"/>
            <w:autoSpaceDN w:val="0"/>
            <w:bidi w:val="0"/>
            <w:ind w:firstLine="422" w:firstLineChars="200"/>
            <w:rPr>
              <w:b/>
              <w:bCs w:val="0"/>
              <w:color w:val="auto"/>
              <w:spacing w:val="0"/>
              <w:sz w:val="21"/>
            </w:rPr>
          </w:pPr>
          <w:r>
            <w:rPr>
              <w:rFonts w:ascii="Times New Roman" w:hAnsi="Times New Roman" w:eastAsia="宋体" w:cs="Times New Roman"/>
              <w:b/>
              <w:bCs w:val="0"/>
              <w:color w:val="auto"/>
              <w:spacing w:val="0"/>
              <w:sz w:val="21"/>
              <w:szCs w:val="52"/>
              <w:lang w:val="en-US"/>
            </w:rPr>
            <w:fldChar w:fldCharType="begin"/>
          </w:r>
          <w:r>
            <w:rPr>
              <w:rFonts w:ascii="Times New Roman" w:hAnsi="Times New Roman" w:eastAsia="宋体" w:cs="Times New Roman"/>
              <w:b/>
              <w:bCs w:val="0"/>
              <w:color w:val="auto"/>
              <w:spacing w:val="0"/>
              <w:sz w:val="21"/>
              <w:szCs w:val="52"/>
              <w:lang w:val="en-US"/>
            </w:rPr>
            <w:instrText xml:space="preserve"> HYPERLINK \l _Toc19638 </w:instrText>
          </w:r>
          <w:r>
            <w:rPr>
              <w:rFonts w:ascii="Times New Roman" w:hAnsi="Times New Roman" w:eastAsia="宋体" w:cs="Times New Roman"/>
              <w:b/>
              <w:bCs w:val="0"/>
              <w:color w:val="auto"/>
              <w:spacing w:val="0"/>
              <w:sz w:val="21"/>
              <w:szCs w:val="52"/>
              <w:lang w:val="en-US"/>
            </w:rPr>
            <w:fldChar w:fldCharType="separate"/>
          </w:r>
          <w:r>
            <w:rPr>
              <w:rFonts w:hint="eastAsia" w:ascii="宋体" w:hAnsi="宋体" w:cs="宋体"/>
              <w:b/>
              <w:bCs w:val="0"/>
              <w:color w:val="auto"/>
              <w:spacing w:val="0"/>
              <w:sz w:val="21"/>
              <w:szCs w:val="28"/>
            </w:rPr>
            <w:t>（二）赛项安全</w:t>
          </w:r>
          <w:r>
            <w:rPr>
              <w:rFonts w:hint="eastAsia" w:cs="Times New Roman"/>
              <w:b/>
              <w:bCs w:val="0"/>
              <w:color w:val="auto"/>
              <w:spacing w:val="0"/>
              <w:sz w:val="21"/>
              <w:szCs w:val="52"/>
              <w:lang w:val="en-US" w:eastAsia="zh-CN"/>
            </w:rPr>
            <w:t>..................................................................................................................</w:t>
          </w:r>
          <w:r>
            <w:rPr>
              <w:rFonts w:ascii="Times New Roman" w:hAnsi="Times New Roman" w:eastAsia="宋体" w:cs="Times New Roman"/>
              <w:b/>
              <w:bCs w:val="0"/>
              <w:color w:val="auto"/>
              <w:spacing w:val="0"/>
              <w:sz w:val="21"/>
              <w:szCs w:val="52"/>
              <w:lang w:val="en-US"/>
            </w:rPr>
            <w:fldChar w:fldCharType="end"/>
          </w:r>
        </w:p>
        <w:p w14:paraId="30F97D61">
          <w:pPr>
            <w:pStyle w:val="9"/>
            <w:keepNext w:val="0"/>
            <w:keepLines w:val="0"/>
            <w:pageBreakBefore w:val="0"/>
            <w:widowControl w:val="0"/>
            <w:tabs>
              <w:tab w:val="right" w:leader="dot" w:pos="9070"/>
            </w:tabs>
            <w:kinsoku/>
            <w:wordWrap/>
            <w:overflowPunct/>
            <w:topLinePunct w:val="0"/>
            <w:autoSpaceDE w:val="0"/>
            <w:autoSpaceDN w:val="0"/>
            <w:bidi w:val="0"/>
            <w:ind w:firstLine="422" w:firstLineChars="200"/>
            <w:rPr>
              <w:color w:val="auto"/>
            </w:rPr>
          </w:pPr>
          <w:r>
            <w:rPr>
              <w:rFonts w:ascii="Times New Roman" w:hAnsi="Times New Roman" w:eastAsia="宋体" w:cs="Times New Roman"/>
              <w:b/>
              <w:bCs w:val="0"/>
              <w:color w:val="auto"/>
              <w:spacing w:val="0"/>
              <w:sz w:val="21"/>
              <w:szCs w:val="52"/>
              <w:lang w:val="en-US"/>
            </w:rPr>
            <w:fldChar w:fldCharType="begin"/>
          </w:r>
          <w:r>
            <w:rPr>
              <w:rFonts w:ascii="Times New Roman" w:hAnsi="Times New Roman" w:eastAsia="宋体" w:cs="Times New Roman"/>
              <w:b/>
              <w:bCs w:val="0"/>
              <w:color w:val="auto"/>
              <w:spacing w:val="0"/>
              <w:sz w:val="21"/>
              <w:szCs w:val="52"/>
              <w:lang w:val="en-US"/>
            </w:rPr>
            <w:instrText xml:space="preserve"> HYPERLINK \l _Toc30020 </w:instrText>
          </w:r>
          <w:r>
            <w:rPr>
              <w:rFonts w:ascii="Times New Roman" w:hAnsi="Times New Roman" w:eastAsia="宋体" w:cs="Times New Roman"/>
              <w:b/>
              <w:bCs w:val="0"/>
              <w:color w:val="auto"/>
              <w:spacing w:val="0"/>
              <w:sz w:val="21"/>
              <w:szCs w:val="52"/>
              <w:lang w:val="en-US"/>
            </w:rPr>
            <w:fldChar w:fldCharType="separate"/>
          </w:r>
          <w:r>
            <w:rPr>
              <w:rFonts w:hint="eastAsia" w:ascii="宋体" w:hAnsi="宋体" w:cs="宋体"/>
              <w:b/>
              <w:bCs w:val="0"/>
              <w:color w:val="auto"/>
              <w:spacing w:val="0"/>
              <w:sz w:val="21"/>
              <w:szCs w:val="28"/>
            </w:rPr>
            <w:t>（三）绿色环保要求</w:t>
          </w:r>
          <w:r>
            <w:rPr>
              <w:rFonts w:hint="eastAsia" w:cs="Times New Roman"/>
              <w:b/>
              <w:bCs w:val="0"/>
              <w:color w:val="auto"/>
              <w:spacing w:val="0"/>
              <w:sz w:val="21"/>
              <w:szCs w:val="52"/>
              <w:lang w:val="en-US" w:eastAsia="zh-CN"/>
            </w:rPr>
            <w:t>..........................................................................................................</w:t>
          </w:r>
          <w:r>
            <w:rPr>
              <w:rFonts w:ascii="Times New Roman" w:hAnsi="Times New Roman" w:eastAsia="宋体" w:cs="Times New Roman"/>
              <w:b/>
              <w:bCs w:val="0"/>
              <w:color w:val="auto"/>
              <w:spacing w:val="0"/>
              <w:sz w:val="21"/>
              <w:szCs w:val="52"/>
              <w:lang w:val="en-US"/>
            </w:rPr>
            <w:fldChar w:fldCharType="end"/>
          </w:r>
        </w:p>
        <w:p w14:paraId="20C9AF11">
          <w:pPr>
            <w:pStyle w:val="9"/>
            <w:keepNext w:val="0"/>
            <w:keepLines w:val="0"/>
            <w:pageBreakBefore w:val="0"/>
            <w:widowControl w:val="0"/>
            <w:tabs>
              <w:tab w:val="right" w:leader="dot" w:pos="8306"/>
            </w:tabs>
            <w:kinsoku/>
            <w:wordWrap/>
            <w:overflowPunct/>
            <w:topLinePunct w:val="0"/>
            <w:autoSpaceDE w:val="0"/>
            <w:autoSpaceDN w:val="0"/>
            <w:bidi w:val="0"/>
            <w:adjustRightInd w:val="0"/>
            <w:snapToGrid w:val="0"/>
            <w:spacing w:line="240" w:lineRule="auto"/>
            <w:ind w:left="0" w:leftChars="0" w:firstLine="0" w:firstLineChars="0"/>
            <w:rPr>
              <w:color w:val="auto"/>
              <w:spacing w:val="-6"/>
            </w:rPr>
          </w:pPr>
          <w:r>
            <w:rPr>
              <w:color w:val="auto"/>
              <w:spacing w:val="-6"/>
            </w:rPr>
            <w:fldChar w:fldCharType="end"/>
          </w:r>
        </w:p>
        <w:p w14:paraId="0E848F65">
          <w:pPr>
            <w:keepNext w:val="0"/>
            <w:keepLines w:val="0"/>
            <w:pageBreakBefore w:val="0"/>
            <w:widowControl w:val="0"/>
            <w:kinsoku/>
            <w:wordWrap/>
            <w:overflowPunct/>
            <w:topLinePunct w:val="0"/>
            <w:autoSpaceDE w:val="0"/>
            <w:autoSpaceDN w:val="0"/>
            <w:bidi w:val="0"/>
            <w:adjustRightInd w:val="0"/>
            <w:snapToGrid w:val="0"/>
            <w:spacing w:line="240" w:lineRule="auto"/>
            <w:ind w:firstLine="396" w:firstLineChars="200"/>
            <w:rPr>
              <w:color w:val="auto"/>
              <w:spacing w:val="-6"/>
            </w:rPr>
          </w:pPr>
        </w:p>
      </w:sdtContent>
    </w:sdt>
    <w:p w14:paraId="5394F474">
      <w:pPr>
        <w:pStyle w:val="10"/>
        <w:keepNext w:val="0"/>
        <w:keepLines w:val="0"/>
        <w:pageBreakBefore w:val="0"/>
        <w:widowControl w:val="0"/>
        <w:kinsoku/>
        <w:wordWrap/>
        <w:overflowPunct/>
        <w:topLinePunct w:val="0"/>
        <w:autoSpaceDE w:val="0"/>
        <w:autoSpaceDN w:val="0"/>
        <w:bidi w:val="0"/>
        <w:adjustRightInd w:val="0"/>
        <w:snapToGrid w:val="0"/>
        <w:spacing w:line="240" w:lineRule="auto"/>
        <w:ind w:left="0" w:firstLine="816" w:firstLineChars="200"/>
        <w:textAlignment w:val="auto"/>
        <w:rPr>
          <w:color w:val="auto"/>
          <w:spacing w:val="-6"/>
          <w:szCs w:val="52"/>
        </w:rPr>
      </w:pPr>
      <w:r>
        <w:rPr>
          <w:color w:val="auto"/>
          <w:spacing w:val="-6"/>
          <w:szCs w:val="52"/>
        </w:rPr>
        <w:fldChar w:fldCharType="end"/>
      </w:r>
      <w:bookmarkStart w:id="0" w:name="_Toc17666"/>
      <w:bookmarkStart w:id="1" w:name="_Toc23410"/>
      <w:bookmarkStart w:id="2" w:name="_Toc17496_WPSOffice_Level2"/>
      <w:bookmarkStart w:id="3" w:name="_Toc31946"/>
      <w:bookmarkStart w:id="4" w:name="_Toc31991_WPSOffice_Level2"/>
      <w:bookmarkStart w:id="5" w:name="_Toc29745_WPSOffice_Level2"/>
    </w:p>
    <w:p w14:paraId="711C7E7F">
      <w:pPr>
        <w:pStyle w:val="10"/>
        <w:keepNext w:val="0"/>
        <w:keepLines w:val="0"/>
        <w:pageBreakBefore w:val="0"/>
        <w:widowControl w:val="0"/>
        <w:kinsoku/>
        <w:wordWrap/>
        <w:overflowPunct/>
        <w:topLinePunct w:val="0"/>
        <w:autoSpaceDE w:val="0"/>
        <w:autoSpaceDN w:val="0"/>
        <w:bidi w:val="0"/>
        <w:adjustRightInd w:val="0"/>
        <w:snapToGrid w:val="0"/>
        <w:spacing w:line="240" w:lineRule="auto"/>
        <w:ind w:left="0" w:firstLine="456" w:firstLineChars="200"/>
        <w:textAlignment w:val="auto"/>
        <w:rPr>
          <w:rFonts w:hint="eastAsia"/>
          <w:color w:val="auto"/>
          <w:spacing w:val="-6"/>
          <w:sz w:val="24"/>
        </w:rPr>
      </w:pPr>
      <w:r>
        <w:rPr>
          <w:rFonts w:hint="eastAsia"/>
          <w:color w:val="auto"/>
          <w:spacing w:val="-6"/>
          <w:sz w:val="24"/>
        </w:rPr>
        <w:br w:type="page"/>
      </w:r>
    </w:p>
    <w:p w14:paraId="7282BB9C">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0"/>
        <w:rPr>
          <w:rFonts w:hint="eastAsia"/>
          <w:b/>
          <w:bCs/>
          <w:color w:val="auto"/>
          <w:spacing w:val="-6"/>
          <w:sz w:val="32"/>
          <w:szCs w:val="32"/>
        </w:rPr>
      </w:pPr>
      <w:bookmarkStart w:id="6" w:name="_Toc51325918"/>
      <w:r>
        <w:rPr>
          <w:rFonts w:hint="eastAsia"/>
          <w:b/>
          <w:bCs/>
          <w:color w:val="auto"/>
          <w:spacing w:val="-6"/>
          <w:sz w:val="32"/>
          <w:szCs w:val="32"/>
        </w:rPr>
        <w:t>一、技术描述</w:t>
      </w:r>
      <w:bookmarkEnd w:id="6"/>
    </w:p>
    <w:p w14:paraId="6E5C2553">
      <w:pPr>
        <w:keepNext w:val="0"/>
        <w:keepLines w:val="0"/>
        <w:pageBreakBefore w:val="0"/>
        <w:widowControl w:val="0"/>
        <w:kinsoku/>
        <w:wordWrap/>
        <w:overflowPunct/>
        <w:topLinePunct w:val="0"/>
        <w:autoSpaceDE w:val="0"/>
        <w:autoSpaceDN w:val="0"/>
        <w:bidi w:val="0"/>
        <w:adjustRightInd w:val="0"/>
        <w:snapToGrid/>
        <w:spacing w:line="240" w:lineRule="auto"/>
        <w:ind w:firstLine="562" w:firstLineChars="200"/>
        <w:textAlignment w:val="auto"/>
        <w:outlineLvl w:val="1"/>
        <w:rPr>
          <w:rFonts w:hint="eastAsia"/>
          <w:b/>
          <w:bCs/>
          <w:color w:val="auto"/>
          <w:spacing w:val="0"/>
          <w:sz w:val="28"/>
          <w:szCs w:val="28"/>
        </w:rPr>
      </w:pPr>
      <w:bookmarkStart w:id="7" w:name="_Toc51325919"/>
      <w:r>
        <w:rPr>
          <w:rFonts w:hint="eastAsia"/>
          <w:b/>
          <w:bCs/>
          <w:color w:val="auto"/>
          <w:spacing w:val="0"/>
          <w:sz w:val="28"/>
          <w:szCs w:val="28"/>
          <w:lang w:eastAsia="zh-CN"/>
        </w:rPr>
        <w:t>（</w:t>
      </w:r>
      <w:r>
        <w:rPr>
          <w:rFonts w:hint="eastAsia"/>
          <w:b/>
          <w:bCs/>
          <w:color w:val="auto"/>
          <w:spacing w:val="0"/>
          <w:sz w:val="28"/>
          <w:szCs w:val="28"/>
          <w:lang w:val="en-US" w:eastAsia="zh-CN"/>
        </w:rPr>
        <w:t>一</w:t>
      </w:r>
      <w:r>
        <w:rPr>
          <w:rFonts w:hint="eastAsia"/>
          <w:b/>
          <w:bCs/>
          <w:color w:val="auto"/>
          <w:spacing w:val="0"/>
          <w:sz w:val="28"/>
          <w:szCs w:val="28"/>
          <w:lang w:eastAsia="zh-CN"/>
        </w:rPr>
        <w:t>）</w:t>
      </w:r>
      <w:r>
        <w:rPr>
          <w:rFonts w:hint="eastAsia"/>
          <w:b/>
          <w:bCs/>
          <w:color w:val="auto"/>
          <w:spacing w:val="0"/>
          <w:sz w:val="28"/>
          <w:szCs w:val="28"/>
        </w:rPr>
        <w:t>项目概要</w:t>
      </w:r>
      <w:bookmarkEnd w:id="7"/>
    </w:p>
    <w:p w14:paraId="1CCA5CE9">
      <w:pPr>
        <w:keepNext w:val="0"/>
        <w:keepLines w:val="0"/>
        <w:pageBreakBefore w:val="0"/>
        <w:widowControl w:val="0"/>
        <w:kinsoku/>
        <w:wordWrap/>
        <w:overflowPunct/>
        <w:topLinePunct w:val="0"/>
        <w:autoSpaceDE w:val="0"/>
        <w:autoSpaceDN w:val="0"/>
        <w:bidi w:val="0"/>
        <w:adjustRightInd w:val="0"/>
        <w:snapToGrid/>
        <w:spacing w:line="240" w:lineRule="auto"/>
        <w:ind w:left="0" w:firstLine="420" w:firstLineChars="200"/>
        <w:jc w:val="both"/>
        <w:textAlignment w:val="auto"/>
        <w:rPr>
          <w:rFonts w:hint="default"/>
          <w:color w:val="auto"/>
          <w:spacing w:val="0"/>
          <w:sz w:val="21"/>
          <w:lang w:val="en-US" w:eastAsia="zh-CN"/>
        </w:rPr>
      </w:pPr>
      <w:r>
        <w:rPr>
          <w:rFonts w:hint="eastAsia" w:ascii="宋体" w:hAnsi="宋体" w:cs="宋体"/>
          <w:b w:val="0"/>
          <w:bCs w:val="0"/>
          <w:snapToGrid/>
          <w:color w:val="auto"/>
          <w:spacing w:val="0"/>
          <w:kern w:val="2"/>
          <w:sz w:val="21"/>
          <w:szCs w:val="21"/>
          <w:lang w:val="en-US" w:eastAsia="zh-CN"/>
        </w:rPr>
        <w:t>瓦斯检查工项目是指通过判定光学瓦斯检定器完好性，模拟矿井井下掘进工作面进行检查，对有毒有害气体进行测定，并对井下现场隐患应急处理的竞赛项目。</w:t>
      </w:r>
    </w:p>
    <w:p w14:paraId="56C2F99D">
      <w:pPr>
        <w:keepNext w:val="0"/>
        <w:keepLines w:val="0"/>
        <w:pageBreakBefore w:val="0"/>
        <w:widowControl w:val="0"/>
        <w:kinsoku/>
        <w:wordWrap/>
        <w:overflowPunct/>
        <w:topLinePunct w:val="0"/>
        <w:autoSpaceDE w:val="0"/>
        <w:autoSpaceDN w:val="0"/>
        <w:bidi w:val="0"/>
        <w:adjustRightInd w:val="0"/>
        <w:snapToGrid/>
        <w:spacing w:line="240" w:lineRule="auto"/>
        <w:ind w:left="0" w:firstLine="420" w:firstLineChars="200"/>
        <w:jc w:val="both"/>
        <w:textAlignment w:val="auto"/>
        <w:rPr>
          <w:rFonts w:hint="default" w:ascii="宋体" w:hAnsi="宋体" w:eastAsia="宋体" w:cs="宋体"/>
          <w:b w:val="0"/>
          <w:bCs w:val="0"/>
          <w:snapToGrid/>
          <w:color w:val="auto"/>
          <w:spacing w:val="0"/>
          <w:kern w:val="2"/>
          <w:sz w:val="21"/>
          <w:szCs w:val="21"/>
          <w:lang w:val="en-US" w:eastAsia="zh-CN"/>
        </w:rPr>
      </w:pPr>
      <w:r>
        <w:rPr>
          <w:rFonts w:hint="eastAsia" w:ascii="宋体" w:hAnsi="宋体" w:eastAsia="宋体" w:cs="宋体"/>
          <w:b w:val="0"/>
          <w:bCs w:val="0"/>
          <w:snapToGrid/>
          <w:color w:val="auto"/>
          <w:spacing w:val="0"/>
          <w:kern w:val="2"/>
          <w:sz w:val="21"/>
          <w:szCs w:val="21"/>
          <w:lang w:eastAsia="zh-CN"/>
        </w:rPr>
        <w:t>比赛中对选手的技能要求主要包括：</w:t>
      </w:r>
      <w:r>
        <w:rPr>
          <w:rFonts w:hint="eastAsia" w:ascii="宋体" w:hAnsi="宋体" w:cs="宋体"/>
          <w:b w:val="0"/>
          <w:bCs w:val="0"/>
          <w:snapToGrid/>
          <w:color w:val="auto"/>
          <w:spacing w:val="0"/>
          <w:kern w:val="2"/>
          <w:sz w:val="21"/>
          <w:szCs w:val="21"/>
          <w:lang w:val="en-US" w:eastAsia="zh-CN"/>
        </w:rPr>
        <w:t xml:space="preserve"> 光学瓦斯检定器故障判断，模拟一氧化碳测定，井下现场应急处置，模拟矿井井下掘进巷道瓦斯检查操作。</w:t>
      </w:r>
    </w:p>
    <w:p w14:paraId="27845D32">
      <w:pPr>
        <w:keepNext w:val="0"/>
        <w:keepLines w:val="0"/>
        <w:pageBreakBefore w:val="0"/>
        <w:widowControl w:val="0"/>
        <w:kinsoku/>
        <w:wordWrap/>
        <w:overflowPunct/>
        <w:topLinePunct w:val="0"/>
        <w:autoSpaceDE w:val="0"/>
        <w:autoSpaceDN w:val="0"/>
        <w:bidi w:val="0"/>
        <w:adjustRightInd w:val="0"/>
        <w:snapToGrid/>
        <w:spacing w:line="240" w:lineRule="auto"/>
        <w:ind w:left="0" w:firstLine="420" w:firstLineChars="200"/>
        <w:textAlignment w:val="auto"/>
        <w:rPr>
          <w:rFonts w:hint="eastAsia" w:ascii="宋体" w:hAnsi="宋体" w:eastAsia="宋体" w:cs="宋体"/>
          <w:b w:val="0"/>
          <w:bCs w:val="0"/>
          <w:color w:val="auto"/>
          <w:spacing w:val="0"/>
          <w:kern w:val="1"/>
          <w:sz w:val="21"/>
          <w:szCs w:val="21"/>
          <w:lang w:val="en-US" w:eastAsia="zh-CN"/>
        </w:rPr>
      </w:pPr>
      <w:r>
        <w:rPr>
          <w:rFonts w:hint="eastAsia" w:ascii="宋体" w:hAnsi="宋体" w:eastAsia="宋体" w:cs="宋体"/>
          <w:b w:val="0"/>
          <w:bCs w:val="0"/>
          <w:color w:val="auto"/>
          <w:spacing w:val="0"/>
          <w:kern w:val="1"/>
          <w:sz w:val="21"/>
          <w:szCs w:val="21"/>
        </w:rPr>
        <w:t>本文件按照</w:t>
      </w:r>
      <w:r>
        <w:rPr>
          <w:rFonts w:hint="eastAsia" w:ascii="宋体" w:hAnsi="宋体" w:cs="宋体"/>
          <w:b w:val="0"/>
          <w:bCs w:val="0"/>
          <w:color w:val="auto"/>
          <w:spacing w:val="0"/>
          <w:kern w:val="1"/>
          <w:sz w:val="21"/>
          <w:szCs w:val="21"/>
          <w:lang w:val="en-US" w:eastAsia="zh-CN"/>
        </w:rPr>
        <w:t>全国煤炭行业职业技能竞赛瓦斯检查工、</w:t>
      </w:r>
      <w:r>
        <w:rPr>
          <w:rFonts w:hint="eastAsia" w:ascii="宋体" w:hAnsi="宋体" w:eastAsia="宋体" w:cs="宋体"/>
          <w:b w:val="0"/>
          <w:bCs w:val="0"/>
          <w:color w:val="auto"/>
          <w:spacing w:val="0"/>
          <w:kern w:val="1"/>
          <w:sz w:val="21"/>
          <w:szCs w:val="21"/>
        </w:rPr>
        <w:t>国家职业技能标准（三级）及以上要求，适当吸收</w:t>
      </w:r>
      <w:r>
        <w:rPr>
          <w:rFonts w:hint="eastAsia" w:ascii="宋体" w:hAnsi="宋体" w:cs="宋体"/>
          <w:b w:val="0"/>
          <w:bCs w:val="0"/>
          <w:color w:val="auto"/>
          <w:spacing w:val="0"/>
          <w:kern w:val="1"/>
          <w:sz w:val="21"/>
          <w:szCs w:val="21"/>
          <w:lang w:val="en-US" w:eastAsia="zh-CN"/>
        </w:rPr>
        <w:t>全国职业</w:t>
      </w:r>
      <w:r>
        <w:rPr>
          <w:rFonts w:hint="eastAsia" w:ascii="宋体" w:hAnsi="宋体" w:eastAsia="宋体" w:cs="宋体"/>
          <w:b w:val="0"/>
          <w:bCs w:val="0"/>
          <w:color w:val="auto"/>
          <w:spacing w:val="0"/>
          <w:kern w:val="1"/>
          <w:sz w:val="21"/>
          <w:szCs w:val="21"/>
        </w:rPr>
        <w:t>技能大赛</w:t>
      </w:r>
      <w:r>
        <w:rPr>
          <w:rFonts w:hint="eastAsia" w:ascii="宋体" w:hAnsi="宋体" w:cs="宋体"/>
          <w:b w:val="0"/>
          <w:bCs w:val="0"/>
          <w:color w:val="auto"/>
          <w:spacing w:val="0"/>
          <w:kern w:val="1"/>
          <w:sz w:val="21"/>
          <w:szCs w:val="21"/>
          <w:lang w:eastAsia="zh-CN"/>
        </w:rPr>
        <w:t>、</w:t>
      </w:r>
      <w:r>
        <w:rPr>
          <w:rFonts w:hint="eastAsia" w:ascii="宋体" w:hAnsi="宋体" w:cs="宋体"/>
          <w:b w:val="0"/>
          <w:bCs w:val="0"/>
          <w:color w:val="auto"/>
          <w:spacing w:val="0"/>
          <w:kern w:val="1"/>
          <w:sz w:val="21"/>
          <w:szCs w:val="21"/>
          <w:lang w:val="en-US" w:eastAsia="zh-CN"/>
        </w:rPr>
        <w:t>山西省职业技能大赛</w:t>
      </w:r>
      <w:r>
        <w:rPr>
          <w:rFonts w:hint="eastAsia" w:ascii="宋体" w:hAnsi="宋体" w:eastAsia="宋体" w:cs="宋体"/>
          <w:b w:val="0"/>
          <w:bCs w:val="0"/>
          <w:color w:val="auto"/>
          <w:spacing w:val="0"/>
          <w:kern w:val="1"/>
          <w:sz w:val="21"/>
          <w:szCs w:val="21"/>
        </w:rPr>
        <w:t>相关技术要求编制</w:t>
      </w:r>
      <w:r>
        <w:rPr>
          <w:rFonts w:hint="eastAsia" w:ascii="宋体" w:hAnsi="宋体" w:eastAsia="宋体" w:cs="宋体"/>
          <w:b w:val="0"/>
          <w:bCs w:val="0"/>
          <w:color w:val="auto"/>
          <w:spacing w:val="0"/>
          <w:kern w:val="1"/>
          <w:sz w:val="21"/>
          <w:szCs w:val="21"/>
          <w:lang w:eastAsia="zh-CN"/>
        </w:rPr>
        <w:t>，</w:t>
      </w:r>
      <w:r>
        <w:rPr>
          <w:rFonts w:hint="eastAsia" w:ascii="宋体" w:hAnsi="宋体" w:eastAsia="宋体" w:cs="宋体"/>
          <w:b w:val="0"/>
          <w:bCs w:val="0"/>
          <w:color w:val="auto"/>
          <w:spacing w:val="0"/>
          <w:kern w:val="1"/>
          <w:sz w:val="21"/>
          <w:szCs w:val="21"/>
          <w:lang w:val="en-US" w:eastAsia="zh-CN"/>
        </w:rPr>
        <w:t>含项目技术描述、</w:t>
      </w:r>
      <w:r>
        <w:rPr>
          <w:rFonts w:hint="eastAsia" w:ascii="宋体" w:hAnsi="宋体" w:cs="宋体"/>
          <w:b w:val="0"/>
          <w:bCs w:val="0"/>
          <w:color w:val="auto"/>
          <w:spacing w:val="0"/>
          <w:kern w:val="1"/>
          <w:sz w:val="21"/>
          <w:szCs w:val="21"/>
          <w:lang w:val="en-US" w:eastAsia="zh-CN"/>
        </w:rPr>
        <w:t>实操与</w:t>
      </w:r>
      <w:r>
        <w:rPr>
          <w:rFonts w:hint="default" w:ascii="宋体" w:hAnsi="宋体" w:eastAsia="宋体" w:cs="宋体"/>
          <w:b w:val="0"/>
          <w:bCs w:val="0"/>
          <w:color w:val="auto"/>
          <w:spacing w:val="0"/>
          <w:kern w:val="1"/>
          <w:sz w:val="21"/>
          <w:szCs w:val="21"/>
          <w:lang w:val="en-US" w:eastAsia="zh-CN"/>
        </w:rPr>
        <w:t>评判标准、</w:t>
      </w:r>
      <w:r>
        <w:rPr>
          <w:rFonts w:hint="eastAsia" w:ascii="宋体" w:hAnsi="宋体" w:cs="宋体"/>
          <w:b w:val="0"/>
          <w:bCs w:val="0"/>
          <w:color w:val="auto"/>
          <w:spacing w:val="0"/>
          <w:kern w:val="1"/>
          <w:sz w:val="21"/>
          <w:szCs w:val="21"/>
          <w:lang w:val="en-US" w:eastAsia="zh-CN"/>
        </w:rPr>
        <w:t>场地设施设备安排</w:t>
      </w:r>
      <w:r>
        <w:rPr>
          <w:rFonts w:hint="default" w:ascii="宋体" w:hAnsi="宋体" w:eastAsia="宋体" w:cs="宋体"/>
          <w:b w:val="0"/>
          <w:bCs w:val="0"/>
          <w:color w:val="auto"/>
          <w:spacing w:val="0"/>
          <w:kern w:val="1"/>
          <w:sz w:val="21"/>
          <w:szCs w:val="21"/>
          <w:lang w:val="en-US" w:eastAsia="zh-CN"/>
        </w:rPr>
        <w:t>、健康安全</w:t>
      </w:r>
      <w:r>
        <w:rPr>
          <w:rFonts w:hint="eastAsia" w:ascii="宋体" w:hAnsi="宋体" w:cs="宋体"/>
          <w:b w:val="0"/>
          <w:bCs w:val="0"/>
          <w:color w:val="auto"/>
          <w:spacing w:val="0"/>
          <w:kern w:val="1"/>
          <w:sz w:val="21"/>
          <w:szCs w:val="21"/>
          <w:lang w:val="en-US" w:eastAsia="zh-CN"/>
        </w:rPr>
        <w:t>要</w:t>
      </w:r>
      <w:r>
        <w:rPr>
          <w:rFonts w:hint="default" w:ascii="宋体" w:hAnsi="宋体" w:eastAsia="宋体" w:cs="宋体"/>
          <w:b w:val="0"/>
          <w:bCs w:val="0"/>
          <w:color w:val="auto"/>
          <w:spacing w:val="0"/>
          <w:kern w:val="1"/>
          <w:sz w:val="21"/>
          <w:szCs w:val="21"/>
          <w:lang w:val="en-US" w:eastAsia="zh-CN"/>
        </w:rPr>
        <w:t>求等</w:t>
      </w:r>
      <w:r>
        <w:rPr>
          <w:rFonts w:hint="eastAsia" w:ascii="宋体" w:hAnsi="宋体" w:cs="宋体"/>
          <w:b w:val="0"/>
          <w:bCs w:val="0"/>
          <w:color w:val="auto"/>
          <w:spacing w:val="0"/>
          <w:kern w:val="1"/>
          <w:sz w:val="21"/>
          <w:szCs w:val="21"/>
          <w:lang w:val="en-US" w:eastAsia="zh-CN"/>
        </w:rPr>
        <w:t>内容</w:t>
      </w:r>
      <w:r>
        <w:rPr>
          <w:rFonts w:hint="default" w:ascii="宋体" w:hAnsi="宋体" w:eastAsia="宋体" w:cs="宋体"/>
          <w:b w:val="0"/>
          <w:bCs w:val="0"/>
          <w:color w:val="auto"/>
          <w:spacing w:val="0"/>
          <w:kern w:val="1"/>
          <w:sz w:val="21"/>
          <w:szCs w:val="21"/>
          <w:lang w:val="en-US" w:eastAsia="zh-CN"/>
        </w:rPr>
        <w:t>。</w:t>
      </w:r>
      <w:r>
        <w:rPr>
          <w:rFonts w:hint="eastAsia" w:ascii="宋体" w:hAnsi="宋体" w:eastAsia="宋体" w:cs="宋体"/>
          <w:b w:val="0"/>
          <w:bCs w:val="0"/>
          <w:color w:val="auto"/>
          <w:spacing w:val="0"/>
          <w:kern w:val="1"/>
          <w:sz w:val="21"/>
          <w:szCs w:val="21"/>
        </w:rPr>
        <w:t>未尽事宜，将在</w:t>
      </w:r>
      <w:r>
        <w:rPr>
          <w:rFonts w:hint="eastAsia" w:ascii="宋体" w:hAnsi="宋体" w:eastAsia="宋体" w:cs="宋体"/>
          <w:b w:val="0"/>
          <w:bCs w:val="0"/>
          <w:color w:val="auto"/>
          <w:spacing w:val="0"/>
          <w:kern w:val="1"/>
          <w:sz w:val="21"/>
          <w:szCs w:val="21"/>
          <w:lang w:val="en-US" w:eastAsia="zh-CN"/>
        </w:rPr>
        <w:t>补充通知</w:t>
      </w:r>
      <w:r>
        <w:rPr>
          <w:rFonts w:hint="eastAsia" w:ascii="宋体" w:hAnsi="宋体" w:cs="宋体"/>
          <w:b w:val="0"/>
          <w:bCs w:val="0"/>
          <w:color w:val="auto"/>
          <w:spacing w:val="0"/>
          <w:kern w:val="1"/>
          <w:sz w:val="21"/>
          <w:szCs w:val="21"/>
          <w:lang w:val="en-US" w:eastAsia="zh-CN"/>
        </w:rPr>
        <w:t>或</w:t>
      </w:r>
      <w:r>
        <w:rPr>
          <w:rFonts w:hint="eastAsia" w:ascii="宋体" w:hAnsi="宋体" w:eastAsia="宋体" w:cs="宋体"/>
          <w:b w:val="0"/>
          <w:bCs w:val="0"/>
          <w:color w:val="auto"/>
          <w:spacing w:val="0"/>
          <w:kern w:val="1"/>
          <w:sz w:val="21"/>
          <w:szCs w:val="21"/>
        </w:rPr>
        <w:t>赛前</w:t>
      </w:r>
      <w:r>
        <w:rPr>
          <w:rFonts w:hint="eastAsia" w:ascii="宋体" w:hAnsi="宋体" w:eastAsia="宋体" w:cs="宋体"/>
          <w:b w:val="0"/>
          <w:bCs w:val="0"/>
          <w:color w:val="auto"/>
          <w:spacing w:val="0"/>
          <w:kern w:val="1"/>
          <w:sz w:val="21"/>
          <w:szCs w:val="21"/>
          <w:lang w:val="en-US" w:eastAsia="zh-CN"/>
        </w:rPr>
        <w:t>项目技术</w:t>
      </w:r>
      <w:r>
        <w:rPr>
          <w:rFonts w:hint="eastAsia" w:ascii="宋体" w:hAnsi="宋体" w:cs="宋体"/>
          <w:b w:val="0"/>
          <w:bCs w:val="0"/>
          <w:color w:val="auto"/>
          <w:spacing w:val="0"/>
          <w:kern w:val="1"/>
          <w:sz w:val="21"/>
          <w:szCs w:val="21"/>
          <w:lang w:val="en-US" w:eastAsia="zh-CN"/>
        </w:rPr>
        <w:t>说明</w:t>
      </w:r>
      <w:r>
        <w:rPr>
          <w:rFonts w:hint="eastAsia" w:ascii="宋体" w:hAnsi="宋体" w:eastAsia="宋体" w:cs="宋体"/>
          <w:b w:val="0"/>
          <w:bCs w:val="0"/>
          <w:color w:val="auto"/>
          <w:spacing w:val="0"/>
          <w:kern w:val="1"/>
          <w:sz w:val="21"/>
          <w:szCs w:val="21"/>
          <w:lang w:val="en-US" w:eastAsia="zh-CN"/>
        </w:rPr>
        <w:t>时</w:t>
      </w:r>
      <w:r>
        <w:rPr>
          <w:rFonts w:hint="eastAsia" w:ascii="宋体" w:hAnsi="宋体" w:eastAsia="宋体" w:cs="宋体"/>
          <w:b w:val="0"/>
          <w:bCs w:val="0"/>
          <w:color w:val="auto"/>
          <w:spacing w:val="0"/>
          <w:kern w:val="1"/>
          <w:sz w:val="21"/>
          <w:szCs w:val="21"/>
        </w:rPr>
        <w:t>予以说明。</w:t>
      </w:r>
    </w:p>
    <w:p w14:paraId="713DBBDC">
      <w:pPr>
        <w:keepNext w:val="0"/>
        <w:keepLines w:val="0"/>
        <w:pageBreakBefore w:val="0"/>
        <w:widowControl w:val="0"/>
        <w:kinsoku/>
        <w:wordWrap/>
        <w:overflowPunct/>
        <w:topLinePunct w:val="0"/>
        <w:autoSpaceDE w:val="0"/>
        <w:autoSpaceDN w:val="0"/>
        <w:bidi w:val="0"/>
        <w:adjustRightInd w:val="0"/>
        <w:snapToGrid/>
        <w:spacing w:line="240" w:lineRule="auto"/>
        <w:ind w:firstLine="562" w:firstLineChars="200"/>
        <w:textAlignment w:val="auto"/>
        <w:outlineLvl w:val="1"/>
        <w:rPr>
          <w:rFonts w:hint="eastAsia"/>
          <w:b/>
          <w:bCs/>
          <w:color w:val="auto"/>
          <w:spacing w:val="0"/>
          <w:sz w:val="28"/>
          <w:szCs w:val="28"/>
          <w:lang w:eastAsia="zh-CN"/>
        </w:rPr>
      </w:pPr>
      <w:bookmarkStart w:id="8" w:name="_Toc481313999"/>
      <w:bookmarkEnd w:id="8"/>
      <w:bookmarkStart w:id="9" w:name="_Toc51325920"/>
      <w:r>
        <w:rPr>
          <w:rFonts w:hint="eastAsia"/>
          <w:b/>
          <w:bCs/>
          <w:color w:val="auto"/>
          <w:spacing w:val="0"/>
          <w:sz w:val="28"/>
          <w:szCs w:val="28"/>
          <w:lang w:eastAsia="zh-CN"/>
        </w:rPr>
        <w:t>（</w:t>
      </w:r>
      <w:r>
        <w:rPr>
          <w:rFonts w:hint="eastAsia"/>
          <w:b/>
          <w:bCs/>
          <w:color w:val="auto"/>
          <w:spacing w:val="0"/>
          <w:sz w:val="28"/>
          <w:szCs w:val="28"/>
          <w:lang w:val="en-US" w:eastAsia="zh-CN"/>
        </w:rPr>
        <w:t>二</w:t>
      </w:r>
      <w:r>
        <w:rPr>
          <w:rFonts w:hint="eastAsia"/>
          <w:b/>
          <w:bCs/>
          <w:color w:val="auto"/>
          <w:spacing w:val="0"/>
          <w:sz w:val="28"/>
          <w:szCs w:val="28"/>
          <w:lang w:eastAsia="zh-CN"/>
        </w:rPr>
        <w:t>）基本知识与能力要求</w:t>
      </w:r>
    </w:p>
    <w:bookmarkEnd w:id="9"/>
    <w:p w14:paraId="2CBC4E9C">
      <w:pPr>
        <w:keepNext w:val="0"/>
        <w:keepLines w:val="0"/>
        <w:pageBreakBefore w:val="0"/>
        <w:widowControl w:val="0"/>
        <w:kinsoku/>
        <w:wordWrap/>
        <w:overflowPunct/>
        <w:topLinePunct w:val="0"/>
        <w:autoSpaceDE w:val="0"/>
        <w:autoSpaceDN w:val="0"/>
        <w:bidi w:val="0"/>
        <w:adjustRightInd/>
        <w:snapToGrid/>
        <w:spacing w:line="240" w:lineRule="auto"/>
        <w:ind w:left="0" w:firstLine="420" w:firstLineChars="200"/>
        <w:textAlignment w:val="auto"/>
        <w:rPr>
          <w:rFonts w:hint="eastAsia" w:ascii="宋体" w:hAnsi="宋体" w:cs="宋体"/>
          <w:color w:val="auto"/>
          <w:sz w:val="21"/>
          <w:szCs w:val="21"/>
          <w:lang w:val="en-US" w:eastAsia="zh-CN"/>
        </w:rPr>
      </w:pPr>
      <w:bookmarkStart w:id="10" w:name="_Toc481314000"/>
      <w:bookmarkEnd w:id="10"/>
      <w:bookmarkStart w:id="11" w:name="_Toc51325921"/>
      <w:r>
        <w:rPr>
          <w:rFonts w:hint="eastAsia" w:ascii="宋体" w:hAnsi="宋体" w:cs="宋体"/>
          <w:color w:val="auto"/>
          <w:sz w:val="21"/>
          <w:szCs w:val="21"/>
          <w:lang w:val="en-US" w:eastAsia="zh-CN"/>
        </w:rPr>
        <w:t>1、基本知识要求</w:t>
      </w:r>
    </w:p>
    <w:p w14:paraId="29D6E581">
      <w:pPr>
        <w:keepNext w:val="0"/>
        <w:keepLines w:val="0"/>
        <w:pageBreakBefore w:val="0"/>
        <w:widowControl w:val="0"/>
        <w:numPr>
          <w:ilvl w:val="0"/>
          <w:numId w:val="1"/>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瓦斯相关理论：需掌握瓦斯的性质（如易燃易爆性、毒性）、生成原理、赋存规律，以及瓦斯浓度与爆炸、窒息等危险的关联。</w:t>
      </w:r>
    </w:p>
    <w:p w14:paraId="5643E115">
      <w:pPr>
        <w:keepNext w:val="0"/>
        <w:keepLines w:val="0"/>
        <w:pageBreakBefore w:val="0"/>
        <w:widowControl w:val="0"/>
        <w:numPr>
          <w:ilvl w:val="0"/>
          <w:numId w:val="1"/>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煤矿安全法规：熟悉《煤矿安全规程》等相关法律法规中关于瓦斯检查、浓度限值、作业规定的具体条款。</w:t>
      </w:r>
    </w:p>
    <w:p w14:paraId="3C4977CE">
      <w:pPr>
        <w:keepNext w:val="0"/>
        <w:keepLines w:val="0"/>
        <w:pageBreakBefore w:val="0"/>
        <w:widowControl w:val="0"/>
        <w:numPr>
          <w:ilvl w:val="0"/>
          <w:numId w:val="1"/>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设备原理与使用：了解瓦斯检测仪（如光学瓦斯检定器、便携式甲烷检测报警仪、多种气体采样器）的构造、工作原理、校准方法及常见故障处理。</w:t>
      </w:r>
    </w:p>
    <w:p w14:paraId="6828038B">
      <w:pPr>
        <w:keepNext w:val="0"/>
        <w:keepLines w:val="0"/>
        <w:pageBreakBefore w:val="0"/>
        <w:widowControl w:val="0"/>
        <w:numPr>
          <w:ilvl w:val="0"/>
          <w:numId w:val="1"/>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通风与安全知识：掌握矿井通风系统的组成、作用，以及通风不良对瓦斯积聚的影响；了解瓦斯突出、爆炸的预防与应急措施。</w:t>
      </w:r>
    </w:p>
    <w:p w14:paraId="6C4F96F3">
      <w:pPr>
        <w:keepNext w:val="0"/>
        <w:keepLines w:val="0"/>
        <w:pageBreakBefore w:val="0"/>
        <w:widowControl w:val="0"/>
        <w:numPr>
          <w:ilvl w:val="0"/>
          <w:numId w:val="1"/>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作业流程规范：明确瓦斯检查的周期、地点、操作步骤，以及检查数据的记录、上报要求。</w:t>
      </w:r>
    </w:p>
    <w:p w14:paraId="2533D865">
      <w:pPr>
        <w:keepNext w:val="0"/>
        <w:keepLines w:val="0"/>
        <w:pageBreakBefore w:val="0"/>
        <w:widowControl w:val="0"/>
        <w:kinsoku/>
        <w:wordWrap/>
        <w:overflowPunct/>
        <w:topLinePunct w:val="0"/>
        <w:autoSpaceDE w:val="0"/>
        <w:autoSpaceDN w:val="0"/>
        <w:bidi w:val="0"/>
        <w:adjustRightInd/>
        <w:snapToGrid/>
        <w:spacing w:line="240" w:lineRule="auto"/>
        <w:ind w:left="0" w:firstLine="420" w:firstLineChars="200"/>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2、能力要求</w:t>
      </w:r>
    </w:p>
    <w:p w14:paraId="735ED259">
      <w:pPr>
        <w:keepNext w:val="0"/>
        <w:keepLines w:val="0"/>
        <w:pageBreakBefore w:val="0"/>
        <w:widowControl w:val="0"/>
        <w:numPr>
          <w:ilvl w:val="0"/>
          <w:numId w:val="2"/>
        </w:numPr>
        <w:kinsoku/>
        <w:wordWrap/>
        <w:overflowPunct/>
        <w:topLinePunct w:val="0"/>
        <w:autoSpaceDE w:val="0"/>
        <w:autoSpaceDN w:val="0"/>
        <w:bidi w:val="0"/>
        <w:adjustRightInd/>
        <w:snapToGrid/>
        <w:spacing w:line="240" w:lineRule="auto"/>
        <w:ind w:left="0" w:leftChars="0" w:firstLine="420" w:firstLineChars="200"/>
        <w:textAlignment w:val="auto"/>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实际操作能力：参赛选手需取得瓦斯检查工特殊工种证件，从事本职业或相关工作满一年。</w:t>
      </w:r>
    </w:p>
    <w:p w14:paraId="6F4C4E47">
      <w:pPr>
        <w:keepNext w:val="0"/>
        <w:keepLines w:val="0"/>
        <w:pageBreakBefore w:val="0"/>
        <w:widowControl w:val="0"/>
        <w:numPr>
          <w:ilvl w:val="0"/>
          <w:numId w:val="2"/>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设备操作能力：能熟练使用、校准各类瓦斯检测设备，快速准确读取数据，并判断设备是否正常运行。</w:t>
      </w:r>
    </w:p>
    <w:p w14:paraId="457A0726">
      <w:pPr>
        <w:keepNext w:val="0"/>
        <w:keepLines w:val="0"/>
        <w:pageBreakBefore w:val="0"/>
        <w:widowControl w:val="0"/>
        <w:numPr>
          <w:ilvl w:val="0"/>
          <w:numId w:val="2"/>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现场检测能力：在复杂矿井环境中（如低能见度、狭窄空间），精准选择检测点，规范完成检测操作，确保数据真实可靠。</w:t>
      </w:r>
    </w:p>
    <w:p w14:paraId="4F491971">
      <w:pPr>
        <w:keepNext w:val="0"/>
        <w:keepLines w:val="0"/>
        <w:pageBreakBefore w:val="0"/>
        <w:widowControl w:val="0"/>
        <w:numPr>
          <w:ilvl w:val="0"/>
          <w:numId w:val="2"/>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应急处置能力：面对瓦斯超限、设备故障等突发情况，能迅速做出反应，按照应急流程采取正确措施（如立即停止作业、撤离人员、上报调度）。</w:t>
      </w:r>
    </w:p>
    <w:p w14:paraId="29C6636B">
      <w:pPr>
        <w:keepNext w:val="0"/>
        <w:keepLines w:val="0"/>
        <w:pageBreakBefore w:val="0"/>
        <w:widowControl w:val="0"/>
        <w:numPr>
          <w:ilvl w:val="0"/>
          <w:numId w:val="2"/>
        </w:numPr>
        <w:kinsoku/>
        <w:wordWrap/>
        <w:overflowPunct/>
        <w:topLinePunct w:val="0"/>
        <w:autoSpaceDE w:val="0"/>
        <w:autoSpaceDN w:val="0"/>
        <w:bidi w:val="0"/>
        <w:adjustRightInd/>
        <w:snapToGrid/>
        <w:spacing w:line="240" w:lineRule="auto"/>
        <w:ind w:left="0" w:leftChars="0" w:firstLine="420" w:firstLineChars="200"/>
        <w:textAlignment w:val="auto"/>
        <w:rPr>
          <w:rFonts w:ascii="宋体" w:hAnsi="宋体" w:cs="宋体"/>
          <w:color w:val="auto"/>
          <w:sz w:val="21"/>
          <w:szCs w:val="21"/>
        </w:rPr>
      </w:pPr>
      <w:r>
        <w:rPr>
          <w:rFonts w:hint="eastAsia" w:ascii="宋体" w:hAnsi="宋体" w:cs="宋体"/>
          <w:color w:val="auto"/>
          <w:sz w:val="21"/>
          <w:szCs w:val="21"/>
          <w:lang w:val="en-US" w:eastAsia="zh-CN"/>
        </w:rPr>
        <w:t>规范作业能力：严格遵守安全作业规程，做到操作标准化、记录规范化，避免因操作不当引发安全事故。</w:t>
      </w:r>
    </w:p>
    <w:bookmarkEnd w:id="11"/>
    <w:p w14:paraId="2C23AA5D">
      <w:pPr>
        <w:keepNext w:val="0"/>
        <w:keepLines w:val="0"/>
        <w:pageBreakBefore w:val="0"/>
        <w:widowControl w:val="0"/>
        <w:kinsoku/>
        <w:wordWrap/>
        <w:overflowPunct/>
        <w:topLinePunct w:val="0"/>
        <w:autoSpaceDE w:val="0"/>
        <w:autoSpaceDN w:val="0"/>
        <w:bidi w:val="0"/>
        <w:rPr>
          <w:rFonts w:hint="eastAsia" w:ascii="宋体" w:hAnsi="宋体" w:cs="宋体"/>
          <w:b/>
          <w:bCs/>
          <w:color w:val="auto"/>
          <w:sz w:val="44"/>
          <w:szCs w:val="44"/>
        </w:rPr>
      </w:pPr>
    </w:p>
    <w:p w14:paraId="30C84A35">
      <w:pPr>
        <w:keepNext w:val="0"/>
        <w:keepLines w:val="0"/>
        <w:pageBreakBefore w:val="0"/>
        <w:widowControl w:val="0"/>
        <w:numPr>
          <w:ilvl w:val="0"/>
          <w:numId w:val="3"/>
        </w:numPr>
        <w:kinsoku/>
        <w:wordWrap/>
        <w:overflowPunct/>
        <w:topLinePunct w:val="0"/>
        <w:autoSpaceDE w:val="0"/>
        <w:autoSpaceDN w:val="0"/>
        <w:bidi w:val="0"/>
        <w:adjustRightInd w:val="0"/>
        <w:snapToGrid/>
        <w:spacing w:line="240" w:lineRule="auto"/>
        <w:textAlignment w:val="auto"/>
        <w:outlineLvl w:val="0"/>
        <w:rPr>
          <w:rFonts w:hint="eastAsia" w:eastAsia="宋体"/>
          <w:b/>
          <w:bCs/>
          <w:color w:val="auto"/>
          <w:spacing w:val="0"/>
          <w:sz w:val="32"/>
          <w:szCs w:val="32"/>
          <w:lang w:val="en-US" w:eastAsia="zh-CN"/>
        </w:rPr>
      </w:pPr>
      <w:r>
        <w:rPr>
          <w:rFonts w:hint="eastAsia" w:ascii="宋体" w:hAnsi="宋体" w:cs="宋体"/>
          <w:b/>
          <w:bCs/>
          <w:color w:val="auto"/>
          <w:spacing w:val="0"/>
          <w:sz w:val="36"/>
          <w:szCs w:val="36"/>
        </w:rPr>
        <w:t>竞赛</w:t>
      </w:r>
      <w:r>
        <w:rPr>
          <w:rFonts w:hint="eastAsia" w:ascii="宋体" w:hAnsi="宋体" w:cs="宋体"/>
          <w:b/>
          <w:bCs/>
          <w:color w:val="auto"/>
          <w:spacing w:val="0"/>
          <w:sz w:val="36"/>
          <w:szCs w:val="36"/>
          <w:lang w:val="en-US" w:eastAsia="zh-CN"/>
        </w:rPr>
        <w:t>方式</w:t>
      </w:r>
      <w:r>
        <w:rPr>
          <w:rFonts w:hint="eastAsia" w:ascii="宋体" w:hAnsi="宋体" w:cs="宋体"/>
          <w:b/>
          <w:bCs/>
          <w:color w:val="auto"/>
          <w:spacing w:val="0"/>
          <w:sz w:val="36"/>
          <w:szCs w:val="36"/>
        </w:rPr>
        <w:t>和成绩</w:t>
      </w:r>
      <w:r>
        <w:rPr>
          <w:rFonts w:hint="eastAsia" w:ascii="宋体" w:hAnsi="宋体" w:cs="宋体"/>
          <w:b/>
          <w:bCs/>
          <w:color w:val="auto"/>
          <w:spacing w:val="0"/>
          <w:sz w:val="36"/>
          <w:szCs w:val="36"/>
          <w:lang w:val="en-US" w:eastAsia="zh-CN"/>
        </w:rPr>
        <w:t>评定</w:t>
      </w:r>
    </w:p>
    <w:p w14:paraId="24D88AF1">
      <w:pPr>
        <w:keepNext w:val="0"/>
        <w:keepLines w:val="0"/>
        <w:pageBreakBefore w:val="0"/>
        <w:widowControl w:val="0"/>
        <w:numPr>
          <w:ilvl w:val="0"/>
          <w:numId w:val="4"/>
        </w:numPr>
        <w:kinsoku/>
        <w:wordWrap/>
        <w:overflowPunct/>
        <w:topLinePunct w:val="0"/>
        <w:autoSpaceDE w:val="0"/>
        <w:autoSpaceDN w:val="0"/>
        <w:bidi w:val="0"/>
        <w:adjustRightInd w:val="0"/>
        <w:snapToGrid/>
        <w:spacing w:line="240" w:lineRule="auto"/>
        <w:ind w:firstLine="562" w:firstLineChars="200"/>
        <w:textAlignment w:val="auto"/>
        <w:outlineLvl w:val="1"/>
        <w:rPr>
          <w:rFonts w:hint="eastAsia"/>
          <w:b/>
          <w:bCs/>
          <w:color w:val="auto"/>
          <w:spacing w:val="0"/>
          <w:sz w:val="28"/>
          <w:szCs w:val="28"/>
          <w:lang w:val="en-US" w:eastAsia="zh-CN"/>
        </w:rPr>
      </w:pPr>
      <w:bookmarkStart w:id="12" w:name="_Toc481314001"/>
      <w:bookmarkEnd w:id="12"/>
      <w:bookmarkStart w:id="13" w:name="_Toc51325922"/>
      <w:r>
        <w:rPr>
          <w:rFonts w:hint="eastAsia"/>
          <w:b/>
          <w:bCs/>
          <w:color w:val="auto"/>
          <w:spacing w:val="0"/>
          <w:sz w:val="28"/>
          <w:szCs w:val="28"/>
          <w:lang w:val="en-US" w:eastAsia="zh-CN"/>
        </w:rPr>
        <w:t>竞赛</w:t>
      </w:r>
      <w:bookmarkEnd w:id="13"/>
      <w:r>
        <w:rPr>
          <w:rFonts w:hint="eastAsia"/>
          <w:b/>
          <w:bCs/>
          <w:color w:val="auto"/>
          <w:spacing w:val="0"/>
          <w:sz w:val="28"/>
          <w:szCs w:val="28"/>
          <w:lang w:val="en-US" w:eastAsia="zh-CN"/>
        </w:rPr>
        <w:t>方式</w:t>
      </w:r>
    </w:p>
    <w:p w14:paraId="7F8E184F">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default" w:asciiTheme="minorEastAsia" w:hAnsiTheme="minorEastAsia" w:eastAsiaTheme="minorEastAsia" w:cstheme="minorEastAsia"/>
          <w:b/>
          <w:bCs/>
          <w:color w:val="auto"/>
          <w:spacing w:val="-6"/>
          <w:sz w:val="21"/>
          <w:szCs w:val="21"/>
          <w:lang w:val="en-US" w:eastAsia="zh-CN"/>
        </w:rPr>
      </w:pPr>
      <w:r>
        <w:rPr>
          <w:rFonts w:hint="eastAsia" w:asciiTheme="minorEastAsia" w:hAnsiTheme="minorEastAsia" w:eastAsiaTheme="minorEastAsia" w:cstheme="minorEastAsia"/>
          <w:color w:val="auto"/>
          <w:sz w:val="21"/>
          <w:szCs w:val="21"/>
        </w:rPr>
        <w:t>瓦斯检查</w:t>
      </w:r>
      <w:r>
        <w:rPr>
          <w:rFonts w:hint="eastAsia" w:asciiTheme="minorEastAsia" w:hAnsiTheme="minorEastAsia" w:eastAsiaTheme="minorEastAsia" w:cstheme="minorEastAsia"/>
          <w:color w:val="auto"/>
          <w:sz w:val="21"/>
          <w:szCs w:val="21"/>
          <w:lang w:val="en-US" w:eastAsia="zh-CN"/>
        </w:rPr>
        <w:t>工</w:t>
      </w:r>
      <w:r>
        <w:rPr>
          <w:rFonts w:hint="eastAsia" w:asciiTheme="minorEastAsia" w:hAnsiTheme="minorEastAsia" w:eastAsiaTheme="minorEastAsia" w:cstheme="minorEastAsia"/>
          <w:color w:val="auto"/>
          <w:sz w:val="21"/>
          <w:szCs w:val="21"/>
        </w:rPr>
        <w:t>技能竞赛</w:t>
      </w:r>
      <w:r>
        <w:rPr>
          <w:rFonts w:hint="eastAsia" w:asciiTheme="minorEastAsia" w:hAnsiTheme="minorEastAsia" w:eastAsiaTheme="minorEastAsia" w:cstheme="minorEastAsia"/>
          <w:color w:val="auto"/>
          <w:sz w:val="21"/>
          <w:szCs w:val="21"/>
          <w:lang w:val="en-US" w:eastAsia="zh-CN"/>
        </w:rPr>
        <w:t xml:space="preserve">为个人项目，竞赛内容由每名选手各自独立完成。 </w:t>
      </w:r>
    </w:p>
    <w:p w14:paraId="57805066">
      <w:pPr>
        <w:keepNext w:val="0"/>
        <w:keepLines w:val="0"/>
        <w:pageBreakBefore w:val="0"/>
        <w:widowControl w:val="0"/>
        <w:numPr>
          <w:ilvl w:val="0"/>
          <w:numId w:val="4"/>
        </w:numPr>
        <w:kinsoku/>
        <w:wordWrap/>
        <w:overflowPunct/>
        <w:topLinePunct w:val="0"/>
        <w:autoSpaceDE w:val="0"/>
        <w:autoSpaceDN w:val="0"/>
        <w:bidi w:val="0"/>
        <w:adjustRightInd w:val="0"/>
        <w:snapToGrid/>
        <w:spacing w:line="240" w:lineRule="auto"/>
        <w:ind w:left="0" w:leftChars="0" w:firstLine="562" w:firstLineChars="200"/>
        <w:textAlignment w:val="auto"/>
        <w:outlineLvl w:val="1"/>
        <w:rPr>
          <w:rFonts w:hint="eastAsia"/>
          <w:b/>
          <w:bCs/>
          <w:color w:val="auto"/>
          <w:spacing w:val="0"/>
          <w:sz w:val="28"/>
          <w:szCs w:val="28"/>
          <w:lang w:eastAsia="zh-CN"/>
        </w:rPr>
      </w:pPr>
      <w:r>
        <w:rPr>
          <w:rFonts w:hint="eastAsia"/>
          <w:b/>
          <w:bCs/>
          <w:color w:val="auto"/>
          <w:spacing w:val="0"/>
          <w:sz w:val="28"/>
          <w:szCs w:val="28"/>
          <w:lang w:val="en-US" w:eastAsia="zh-CN"/>
        </w:rPr>
        <w:t>竞赛</w:t>
      </w:r>
      <w:r>
        <w:rPr>
          <w:rFonts w:hint="eastAsia"/>
          <w:b/>
          <w:bCs/>
          <w:color w:val="auto"/>
          <w:spacing w:val="0"/>
          <w:sz w:val="28"/>
          <w:szCs w:val="28"/>
          <w:lang w:eastAsia="zh-CN"/>
        </w:rPr>
        <w:t>时间及具体内容</w:t>
      </w:r>
    </w:p>
    <w:p w14:paraId="169F78B4">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竞赛总时间为35分钟：光学瓦斯检定器故障判断、完好仪器选定为10分钟，分值为30分；一氧化碳浓度测定操作（包含应急处置）10分钟，分值为20分；模拟煤矿井下掘进巷道瓦斯检查叙述演示为15分钟，分值为50分。详见表1。</w:t>
      </w:r>
    </w:p>
    <w:p w14:paraId="57BC08B3">
      <w:pPr>
        <w:keepNext w:val="0"/>
        <w:keepLines w:val="0"/>
        <w:pageBreakBefore w:val="0"/>
        <w:widowControl w:val="0"/>
        <w:kinsoku/>
        <w:wordWrap/>
        <w:overflowPunct/>
        <w:topLinePunct w:val="0"/>
        <w:autoSpaceDE w:val="0"/>
        <w:autoSpaceDN w:val="0"/>
        <w:bidi w:val="0"/>
        <w:adjustRightInd/>
        <w:snapToGrid w:val="0"/>
        <w:spacing w:line="40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表1  竞赛内容、分值与时间分配表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3816"/>
        <w:gridCol w:w="1371"/>
        <w:gridCol w:w="1791"/>
      </w:tblGrid>
      <w:tr w14:paraId="4EF92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698" w:type="dxa"/>
            <w:noWrap w:val="0"/>
            <w:vAlign w:val="center"/>
          </w:tcPr>
          <w:p w14:paraId="458A35E2">
            <w:pPr>
              <w:keepNext w:val="0"/>
              <w:keepLines w:val="0"/>
              <w:pageBreakBefore w:val="0"/>
              <w:widowControl w:val="0"/>
              <w:kinsoku/>
              <w:wordWrap/>
              <w:overflowPunct/>
              <w:topLinePunct w:val="0"/>
              <w:autoSpaceDE w:val="0"/>
              <w:autoSpaceDN w:val="0"/>
              <w:bidi w:val="0"/>
              <w:adjustRightInd/>
              <w:snapToGrid w:val="0"/>
              <w:spacing w:line="40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序号</w:t>
            </w:r>
          </w:p>
        </w:tc>
        <w:tc>
          <w:tcPr>
            <w:tcW w:w="3816" w:type="dxa"/>
            <w:noWrap w:val="0"/>
            <w:vAlign w:val="center"/>
          </w:tcPr>
          <w:p w14:paraId="6C9520E6">
            <w:pPr>
              <w:keepNext w:val="0"/>
              <w:keepLines w:val="0"/>
              <w:pageBreakBefore w:val="0"/>
              <w:widowControl w:val="0"/>
              <w:kinsoku/>
              <w:wordWrap/>
              <w:overflowPunct/>
              <w:topLinePunct w:val="0"/>
              <w:autoSpaceDE w:val="0"/>
              <w:autoSpaceDN w:val="0"/>
              <w:bidi w:val="0"/>
              <w:adjustRightInd/>
              <w:snapToGrid w:val="0"/>
              <w:spacing w:line="40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竞赛内容</w:t>
            </w:r>
          </w:p>
        </w:tc>
        <w:tc>
          <w:tcPr>
            <w:tcW w:w="0" w:type="auto"/>
            <w:noWrap w:val="0"/>
            <w:vAlign w:val="center"/>
          </w:tcPr>
          <w:p w14:paraId="26281878">
            <w:pPr>
              <w:keepNext w:val="0"/>
              <w:keepLines w:val="0"/>
              <w:pageBreakBefore w:val="0"/>
              <w:widowControl w:val="0"/>
              <w:kinsoku/>
              <w:wordWrap/>
              <w:overflowPunct/>
              <w:topLinePunct w:val="0"/>
              <w:autoSpaceDE w:val="0"/>
              <w:autoSpaceDN w:val="0"/>
              <w:bidi w:val="0"/>
              <w:adjustRightInd/>
              <w:snapToGrid w:val="0"/>
              <w:spacing w:line="40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分 值（分）</w:t>
            </w:r>
          </w:p>
        </w:tc>
        <w:tc>
          <w:tcPr>
            <w:tcW w:w="0" w:type="auto"/>
            <w:noWrap w:val="0"/>
            <w:vAlign w:val="center"/>
          </w:tcPr>
          <w:p w14:paraId="7016DA11">
            <w:pPr>
              <w:keepNext w:val="0"/>
              <w:keepLines w:val="0"/>
              <w:pageBreakBefore w:val="0"/>
              <w:widowControl w:val="0"/>
              <w:kinsoku/>
              <w:wordWrap/>
              <w:overflowPunct/>
              <w:topLinePunct w:val="0"/>
              <w:autoSpaceDE w:val="0"/>
              <w:autoSpaceDN w:val="0"/>
              <w:bidi w:val="0"/>
              <w:adjustRightInd/>
              <w:snapToGrid w:val="0"/>
              <w:spacing w:line="40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时 间 （分 钟）</w:t>
            </w:r>
          </w:p>
        </w:tc>
      </w:tr>
      <w:tr w14:paraId="292A4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698" w:type="dxa"/>
            <w:noWrap w:val="0"/>
            <w:vAlign w:val="center"/>
          </w:tcPr>
          <w:p w14:paraId="5DDCD97D">
            <w:pPr>
              <w:keepNext w:val="0"/>
              <w:keepLines w:val="0"/>
              <w:pageBreakBefore w:val="0"/>
              <w:widowControl w:val="0"/>
              <w:kinsoku/>
              <w:wordWrap/>
              <w:overflowPunct/>
              <w:topLinePunct w:val="0"/>
              <w:autoSpaceDE w:val="0"/>
              <w:autoSpaceDN w:val="0"/>
              <w:bidi w:val="0"/>
              <w:adjustRightInd/>
              <w:snapToGrid w:val="0"/>
              <w:spacing w:line="400" w:lineRule="exact"/>
              <w:jc w:val="center"/>
              <w:textAlignment w:val="auto"/>
              <w:rPr>
                <w:rFonts w:hint="eastAsia" w:ascii="仿宋_GB2312" w:hAnsi="仿宋" w:eastAsia="仿宋_GB2312"/>
                <w:color w:val="auto"/>
                <w:sz w:val="24"/>
              </w:rPr>
            </w:pPr>
            <w:r>
              <w:rPr>
                <w:rFonts w:hint="eastAsia" w:ascii="仿宋_GB2312" w:hAnsi="仿宋" w:eastAsia="仿宋_GB2312"/>
                <w:color w:val="auto"/>
                <w:sz w:val="24"/>
              </w:rPr>
              <w:t>1</w:t>
            </w:r>
          </w:p>
        </w:tc>
        <w:tc>
          <w:tcPr>
            <w:tcW w:w="3816" w:type="dxa"/>
            <w:noWrap w:val="0"/>
            <w:vAlign w:val="center"/>
          </w:tcPr>
          <w:p w14:paraId="5F8E54C9">
            <w:pPr>
              <w:keepNext w:val="0"/>
              <w:keepLines w:val="0"/>
              <w:pageBreakBefore w:val="0"/>
              <w:widowControl w:val="0"/>
              <w:kinsoku/>
              <w:wordWrap/>
              <w:overflowPunct/>
              <w:topLinePunct w:val="0"/>
              <w:autoSpaceDE w:val="0"/>
              <w:autoSpaceDN w:val="0"/>
              <w:bidi w:val="0"/>
              <w:adjustRightInd/>
              <w:snapToGrid w:val="0"/>
              <w:spacing w:line="400" w:lineRule="exact"/>
              <w:jc w:val="center"/>
              <w:textAlignment w:val="auto"/>
              <w:rPr>
                <w:rFonts w:ascii="仿宋_GB2312" w:hAnsi="仿宋" w:eastAsia="仿宋_GB2312"/>
                <w:color w:val="auto"/>
                <w:sz w:val="24"/>
              </w:rPr>
            </w:pPr>
            <w:r>
              <w:rPr>
                <w:rFonts w:hint="eastAsia" w:asciiTheme="minorEastAsia" w:hAnsiTheme="minorEastAsia" w:eastAsiaTheme="minorEastAsia" w:cstheme="minorEastAsia"/>
                <w:color w:val="auto"/>
                <w:sz w:val="21"/>
                <w:szCs w:val="21"/>
                <w:lang w:val="en-US" w:eastAsia="zh-CN"/>
              </w:rPr>
              <w:t>光学瓦斯检定器的选定、故障判断</w:t>
            </w:r>
          </w:p>
        </w:tc>
        <w:tc>
          <w:tcPr>
            <w:tcW w:w="0" w:type="auto"/>
            <w:noWrap w:val="0"/>
            <w:vAlign w:val="center"/>
          </w:tcPr>
          <w:p w14:paraId="3CB24878">
            <w:pPr>
              <w:keepNext w:val="0"/>
              <w:keepLines w:val="0"/>
              <w:pageBreakBefore w:val="0"/>
              <w:widowControl w:val="0"/>
              <w:kinsoku/>
              <w:wordWrap/>
              <w:overflowPunct/>
              <w:topLinePunct w:val="0"/>
              <w:autoSpaceDE w:val="0"/>
              <w:autoSpaceDN w:val="0"/>
              <w:bidi w:val="0"/>
              <w:adjustRightInd/>
              <w:snapToGrid w:val="0"/>
              <w:spacing w:line="400" w:lineRule="exact"/>
              <w:jc w:val="center"/>
              <w:textAlignment w:val="auto"/>
              <w:rPr>
                <w:rFonts w:hint="default" w:ascii="仿宋_GB2312" w:hAnsi="仿宋" w:eastAsia="仿宋_GB2312"/>
                <w:color w:val="auto"/>
                <w:sz w:val="24"/>
                <w:lang w:val="en-US" w:eastAsia="zh-CN"/>
              </w:rPr>
            </w:pPr>
            <w:r>
              <w:rPr>
                <w:rFonts w:hint="eastAsia" w:ascii="仿宋_GB2312" w:hAnsi="仿宋" w:eastAsia="仿宋_GB2312"/>
                <w:color w:val="auto"/>
                <w:sz w:val="24"/>
                <w:lang w:val="en-US" w:eastAsia="zh-CN"/>
              </w:rPr>
              <w:t>30</w:t>
            </w:r>
          </w:p>
        </w:tc>
        <w:tc>
          <w:tcPr>
            <w:tcW w:w="0" w:type="auto"/>
            <w:noWrap w:val="0"/>
            <w:vAlign w:val="center"/>
          </w:tcPr>
          <w:p w14:paraId="319826E9">
            <w:pPr>
              <w:keepNext w:val="0"/>
              <w:keepLines w:val="0"/>
              <w:pageBreakBefore w:val="0"/>
              <w:widowControl w:val="0"/>
              <w:kinsoku/>
              <w:wordWrap/>
              <w:overflowPunct/>
              <w:topLinePunct w:val="0"/>
              <w:autoSpaceDE w:val="0"/>
              <w:autoSpaceDN w:val="0"/>
              <w:bidi w:val="0"/>
              <w:snapToGrid w:val="0"/>
              <w:spacing w:line="320" w:lineRule="exact"/>
              <w:jc w:val="center"/>
              <w:rPr>
                <w:rFonts w:hint="default" w:ascii="仿宋_GB2312" w:hAnsi="仿宋" w:eastAsia="仿宋_GB2312"/>
                <w:color w:val="auto"/>
                <w:sz w:val="24"/>
                <w:lang w:val="en-US" w:eastAsia="zh-CN"/>
              </w:rPr>
            </w:pPr>
            <w:r>
              <w:rPr>
                <w:rFonts w:hint="eastAsia" w:ascii="仿宋_GB2312" w:hAnsi="仿宋" w:eastAsia="仿宋_GB2312"/>
                <w:color w:val="auto"/>
                <w:sz w:val="24"/>
                <w:lang w:val="en-US" w:eastAsia="zh-CN"/>
              </w:rPr>
              <w:t>10</w:t>
            </w:r>
          </w:p>
        </w:tc>
      </w:tr>
      <w:tr w14:paraId="136BC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698" w:type="dxa"/>
            <w:noWrap w:val="0"/>
            <w:vAlign w:val="center"/>
          </w:tcPr>
          <w:p w14:paraId="4258505B">
            <w:pPr>
              <w:keepNext w:val="0"/>
              <w:keepLines w:val="0"/>
              <w:pageBreakBefore w:val="0"/>
              <w:widowControl w:val="0"/>
              <w:kinsoku/>
              <w:wordWrap/>
              <w:overflowPunct/>
              <w:topLinePunct w:val="0"/>
              <w:autoSpaceDE w:val="0"/>
              <w:autoSpaceDN w:val="0"/>
              <w:bidi w:val="0"/>
              <w:adjustRightInd/>
              <w:snapToGrid w:val="0"/>
              <w:spacing w:line="400" w:lineRule="exact"/>
              <w:jc w:val="center"/>
              <w:textAlignment w:val="auto"/>
              <w:rPr>
                <w:rFonts w:hint="eastAsia" w:ascii="仿宋_GB2312" w:hAnsi="仿宋" w:eastAsia="仿宋_GB2312"/>
                <w:color w:val="auto"/>
                <w:sz w:val="24"/>
              </w:rPr>
            </w:pPr>
            <w:r>
              <w:rPr>
                <w:rFonts w:hint="eastAsia" w:ascii="仿宋_GB2312" w:hAnsi="仿宋" w:eastAsia="仿宋_GB2312"/>
                <w:color w:val="auto"/>
                <w:sz w:val="24"/>
              </w:rPr>
              <w:t>2</w:t>
            </w:r>
          </w:p>
        </w:tc>
        <w:tc>
          <w:tcPr>
            <w:tcW w:w="3816" w:type="dxa"/>
            <w:noWrap w:val="0"/>
            <w:vAlign w:val="center"/>
          </w:tcPr>
          <w:p w14:paraId="77E2F515">
            <w:pPr>
              <w:keepNext w:val="0"/>
              <w:keepLines w:val="0"/>
              <w:pageBreakBefore w:val="0"/>
              <w:widowControl w:val="0"/>
              <w:kinsoku/>
              <w:wordWrap/>
              <w:overflowPunct/>
              <w:topLinePunct w:val="0"/>
              <w:autoSpaceDE w:val="0"/>
              <w:autoSpaceDN w:val="0"/>
              <w:bidi w:val="0"/>
              <w:adjustRightInd/>
              <w:snapToGrid w:val="0"/>
              <w:spacing w:line="400" w:lineRule="exact"/>
              <w:jc w:val="center"/>
              <w:textAlignment w:val="auto"/>
              <w:rPr>
                <w:rFonts w:ascii="仿宋_GB2312" w:hAnsi="仿宋" w:eastAsia="仿宋_GB2312"/>
                <w:color w:val="auto"/>
                <w:sz w:val="24"/>
              </w:rPr>
            </w:pPr>
            <w:r>
              <w:rPr>
                <w:rFonts w:hint="eastAsia" w:asciiTheme="minorEastAsia" w:hAnsiTheme="minorEastAsia" w:eastAsiaTheme="minorEastAsia" w:cstheme="minorEastAsia"/>
                <w:color w:val="auto"/>
                <w:sz w:val="21"/>
                <w:szCs w:val="21"/>
                <w:lang w:val="en-US" w:eastAsia="zh-CN"/>
              </w:rPr>
              <w:t>模拟煤矿井下掘进巷道瓦斯检查演示</w:t>
            </w:r>
          </w:p>
        </w:tc>
        <w:tc>
          <w:tcPr>
            <w:tcW w:w="0" w:type="auto"/>
            <w:noWrap w:val="0"/>
            <w:vAlign w:val="center"/>
          </w:tcPr>
          <w:p w14:paraId="21F177E7">
            <w:pPr>
              <w:keepNext w:val="0"/>
              <w:keepLines w:val="0"/>
              <w:pageBreakBefore w:val="0"/>
              <w:widowControl w:val="0"/>
              <w:kinsoku/>
              <w:wordWrap/>
              <w:overflowPunct/>
              <w:topLinePunct w:val="0"/>
              <w:autoSpaceDE w:val="0"/>
              <w:autoSpaceDN w:val="0"/>
              <w:bidi w:val="0"/>
              <w:adjustRightInd/>
              <w:snapToGrid w:val="0"/>
              <w:spacing w:line="400" w:lineRule="exact"/>
              <w:jc w:val="center"/>
              <w:textAlignment w:val="auto"/>
              <w:rPr>
                <w:rFonts w:hint="default" w:ascii="仿宋_GB2312" w:hAnsi="仿宋" w:eastAsia="仿宋_GB2312"/>
                <w:color w:val="auto"/>
                <w:sz w:val="24"/>
                <w:lang w:val="en-US" w:eastAsia="zh-CN"/>
              </w:rPr>
            </w:pPr>
            <w:r>
              <w:rPr>
                <w:rFonts w:hint="eastAsia" w:ascii="仿宋_GB2312" w:hAnsi="仿宋" w:eastAsia="仿宋_GB2312"/>
                <w:color w:val="auto"/>
                <w:sz w:val="24"/>
                <w:lang w:val="en-US" w:eastAsia="zh-CN"/>
              </w:rPr>
              <w:t>50</w:t>
            </w:r>
          </w:p>
        </w:tc>
        <w:tc>
          <w:tcPr>
            <w:tcW w:w="0" w:type="auto"/>
            <w:noWrap w:val="0"/>
            <w:vAlign w:val="center"/>
          </w:tcPr>
          <w:p w14:paraId="7954BA85">
            <w:pPr>
              <w:keepNext w:val="0"/>
              <w:keepLines w:val="0"/>
              <w:pageBreakBefore w:val="0"/>
              <w:widowControl w:val="0"/>
              <w:kinsoku/>
              <w:wordWrap/>
              <w:overflowPunct/>
              <w:topLinePunct w:val="0"/>
              <w:autoSpaceDE w:val="0"/>
              <w:autoSpaceDN w:val="0"/>
              <w:bidi w:val="0"/>
              <w:snapToGrid w:val="0"/>
              <w:spacing w:line="320" w:lineRule="exact"/>
              <w:jc w:val="center"/>
              <w:rPr>
                <w:rFonts w:hint="default" w:ascii="仿宋_GB2312" w:hAnsi="仿宋" w:eastAsia="仿宋_GB2312"/>
                <w:color w:val="auto"/>
                <w:sz w:val="24"/>
                <w:lang w:val="en-US" w:eastAsia="zh-CN"/>
              </w:rPr>
            </w:pPr>
            <w:r>
              <w:rPr>
                <w:rFonts w:hint="eastAsia" w:ascii="仿宋_GB2312" w:hAnsi="仿宋" w:eastAsia="仿宋_GB2312"/>
                <w:color w:val="auto"/>
                <w:sz w:val="24"/>
                <w:lang w:val="en-US" w:eastAsia="zh-CN"/>
              </w:rPr>
              <w:t>15</w:t>
            </w:r>
          </w:p>
        </w:tc>
      </w:tr>
      <w:tr w14:paraId="2CC2D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98" w:type="dxa"/>
            <w:noWrap w:val="0"/>
            <w:vAlign w:val="center"/>
          </w:tcPr>
          <w:p w14:paraId="163D863C">
            <w:pPr>
              <w:keepNext w:val="0"/>
              <w:keepLines w:val="0"/>
              <w:pageBreakBefore w:val="0"/>
              <w:widowControl w:val="0"/>
              <w:kinsoku/>
              <w:wordWrap/>
              <w:overflowPunct/>
              <w:topLinePunct w:val="0"/>
              <w:autoSpaceDE w:val="0"/>
              <w:autoSpaceDN w:val="0"/>
              <w:bidi w:val="0"/>
              <w:adjustRightInd/>
              <w:snapToGrid w:val="0"/>
              <w:spacing w:line="400" w:lineRule="exact"/>
              <w:jc w:val="center"/>
              <w:textAlignment w:val="auto"/>
              <w:rPr>
                <w:rFonts w:hint="eastAsia" w:ascii="仿宋_GB2312" w:hAnsi="仿宋" w:eastAsia="仿宋_GB2312"/>
                <w:color w:val="auto"/>
                <w:sz w:val="24"/>
              </w:rPr>
            </w:pPr>
            <w:r>
              <w:rPr>
                <w:rFonts w:hint="eastAsia" w:ascii="仿宋_GB2312" w:hAnsi="仿宋" w:eastAsia="仿宋_GB2312"/>
                <w:color w:val="auto"/>
                <w:sz w:val="24"/>
              </w:rPr>
              <w:t>3</w:t>
            </w:r>
          </w:p>
        </w:tc>
        <w:tc>
          <w:tcPr>
            <w:tcW w:w="3816" w:type="dxa"/>
            <w:noWrap w:val="0"/>
            <w:vAlign w:val="center"/>
          </w:tcPr>
          <w:p w14:paraId="3330D5EC">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一氧化碳浓度测定操作流程</w:t>
            </w:r>
          </w:p>
          <w:p w14:paraId="61646A3A">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仿宋_GB2312" w:hAnsi="仿宋" w:eastAsia="仿宋_GB2312"/>
                <w:color w:val="auto"/>
                <w:sz w:val="24"/>
              </w:rPr>
            </w:pPr>
            <w:r>
              <w:rPr>
                <w:rFonts w:hint="eastAsia" w:asciiTheme="minorEastAsia" w:hAnsiTheme="minorEastAsia" w:eastAsiaTheme="minorEastAsia" w:cstheme="minorEastAsia"/>
                <w:color w:val="auto"/>
                <w:sz w:val="21"/>
                <w:szCs w:val="21"/>
                <w:lang w:val="en-US" w:eastAsia="zh-CN"/>
              </w:rPr>
              <w:t>（包含应急处置）</w:t>
            </w:r>
          </w:p>
        </w:tc>
        <w:tc>
          <w:tcPr>
            <w:tcW w:w="0" w:type="auto"/>
            <w:noWrap w:val="0"/>
            <w:vAlign w:val="center"/>
          </w:tcPr>
          <w:p w14:paraId="6163A56C">
            <w:pPr>
              <w:keepNext w:val="0"/>
              <w:keepLines w:val="0"/>
              <w:pageBreakBefore w:val="0"/>
              <w:widowControl w:val="0"/>
              <w:kinsoku/>
              <w:wordWrap/>
              <w:overflowPunct/>
              <w:topLinePunct w:val="0"/>
              <w:autoSpaceDE w:val="0"/>
              <w:autoSpaceDN w:val="0"/>
              <w:bidi w:val="0"/>
              <w:adjustRightInd/>
              <w:snapToGrid w:val="0"/>
              <w:spacing w:line="400" w:lineRule="exact"/>
              <w:jc w:val="center"/>
              <w:textAlignment w:val="auto"/>
              <w:rPr>
                <w:rFonts w:hint="default" w:ascii="仿宋_GB2312" w:hAnsi="仿宋" w:eastAsia="仿宋_GB2312"/>
                <w:color w:val="auto"/>
                <w:sz w:val="24"/>
                <w:lang w:val="en-US" w:eastAsia="zh-CN"/>
              </w:rPr>
            </w:pPr>
            <w:r>
              <w:rPr>
                <w:rFonts w:hint="eastAsia" w:ascii="仿宋_GB2312" w:hAnsi="仿宋" w:eastAsia="仿宋_GB2312"/>
                <w:color w:val="auto"/>
                <w:sz w:val="24"/>
                <w:lang w:val="en-US" w:eastAsia="zh-CN"/>
              </w:rPr>
              <w:t>20</w:t>
            </w:r>
          </w:p>
        </w:tc>
        <w:tc>
          <w:tcPr>
            <w:tcW w:w="0" w:type="auto"/>
            <w:noWrap w:val="0"/>
            <w:vAlign w:val="center"/>
          </w:tcPr>
          <w:p w14:paraId="379F7070">
            <w:pPr>
              <w:keepNext w:val="0"/>
              <w:keepLines w:val="0"/>
              <w:pageBreakBefore w:val="0"/>
              <w:widowControl w:val="0"/>
              <w:kinsoku/>
              <w:wordWrap/>
              <w:overflowPunct/>
              <w:topLinePunct w:val="0"/>
              <w:autoSpaceDE w:val="0"/>
              <w:autoSpaceDN w:val="0"/>
              <w:bidi w:val="0"/>
              <w:snapToGrid w:val="0"/>
              <w:spacing w:line="320" w:lineRule="exact"/>
              <w:jc w:val="center"/>
              <w:rPr>
                <w:rFonts w:hint="default" w:ascii="仿宋_GB2312" w:hAnsi="仿宋" w:eastAsia="仿宋_GB2312"/>
                <w:color w:val="auto"/>
                <w:sz w:val="24"/>
                <w:lang w:val="en-US" w:eastAsia="zh-CN"/>
              </w:rPr>
            </w:pPr>
            <w:r>
              <w:rPr>
                <w:rFonts w:hint="eastAsia" w:ascii="仿宋_GB2312" w:hAnsi="仿宋" w:eastAsia="仿宋_GB2312"/>
                <w:color w:val="auto"/>
                <w:sz w:val="24"/>
                <w:lang w:val="en-US" w:eastAsia="zh-CN"/>
              </w:rPr>
              <w:t>10</w:t>
            </w:r>
          </w:p>
        </w:tc>
      </w:tr>
      <w:tr w14:paraId="7F15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698" w:type="dxa"/>
            <w:noWrap w:val="0"/>
            <w:vAlign w:val="center"/>
          </w:tcPr>
          <w:p w14:paraId="28C699D6">
            <w:pPr>
              <w:keepNext w:val="0"/>
              <w:keepLines w:val="0"/>
              <w:pageBreakBefore w:val="0"/>
              <w:widowControl w:val="0"/>
              <w:kinsoku/>
              <w:wordWrap/>
              <w:overflowPunct/>
              <w:topLinePunct w:val="0"/>
              <w:autoSpaceDE w:val="0"/>
              <w:autoSpaceDN w:val="0"/>
              <w:bidi w:val="0"/>
              <w:adjustRightInd/>
              <w:snapToGrid w:val="0"/>
              <w:spacing w:line="400" w:lineRule="exact"/>
              <w:jc w:val="center"/>
              <w:textAlignment w:val="auto"/>
              <w:rPr>
                <w:rFonts w:hint="default" w:ascii="仿宋_GB2312" w:hAnsi="仿宋" w:eastAsia="仿宋_GB2312"/>
                <w:color w:val="auto"/>
                <w:sz w:val="24"/>
                <w:lang w:val="en-US" w:eastAsia="zh-CN"/>
              </w:rPr>
            </w:pPr>
            <w:r>
              <w:rPr>
                <w:rFonts w:hint="eastAsia" w:ascii="仿宋_GB2312" w:hAnsi="仿宋" w:eastAsia="仿宋_GB2312"/>
                <w:color w:val="auto"/>
                <w:sz w:val="24"/>
                <w:lang w:val="en-US" w:eastAsia="zh-CN"/>
              </w:rPr>
              <w:t>4</w:t>
            </w:r>
          </w:p>
        </w:tc>
        <w:tc>
          <w:tcPr>
            <w:tcW w:w="3816" w:type="dxa"/>
            <w:noWrap w:val="0"/>
            <w:vAlign w:val="center"/>
          </w:tcPr>
          <w:p w14:paraId="42519A2E">
            <w:pPr>
              <w:keepNext w:val="0"/>
              <w:keepLines w:val="0"/>
              <w:pageBreakBefore w:val="0"/>
              <w:widowControl w:val="0"/>
              <w:kinsoku/>
              <w:wordWrap/>
              <w:overflowPunct/>
              <w:topLinePunct w:val="0"/>
              <w:autoSpaceDE w:val="0"/>
              <w:autoSpaceDN w:val="0"/>
              <w:bidi w:val="0"/>
              <w:adjustRightInd/>
              <w:snapToGrid w:val="0"/>
              <w:spacing w:line="400" w:lineRule="exact"/>
              <w:jc w:val="center"/>
              <w:textAlignment w:val="auto"/>
              <w:rPr>
                <w:rFonts w:hint="eastAsia" w:ascii="仿宋_GB2312" w:hAnsi="仿宋" w:eastAsia="仿宋_GB2312"/>
                <w:color w:val="auto"/>
                <w:sz w:val="24"/>
              </w:rPr>
            </w:pPr>
            <w:r>
              <w:rPr>
                <w:rFonts w:hint="eastAsia" w:asciiTheme="minorEastAsia" w:hAnsiTheme="minorEastAsia" w:eastAsiaTheme="minorEastAsia" w:cstheme="minorEastAsia"/>
                <w:color w:val="auto"/>
                <w:sz w:val="21"/>
                <w:szCs w:val="21"/>
                <w:lang w:val="en-US" w:eastAsia="zh-CN"/>
              </w:rPr>
              <w:t>合  计</w:t>
            </w:r>
          </w:p>
        </w:tc>
        <w:tc>
          <w:tcPr>
            <w:tcW w:w="0" w:type="auto"/>
            <w:noWrap w:val="0"/>
            <w:vAlign w:val="center"/>
          </w:tcPr>
          <w:p w14:paraId="777219A7">
            <w:pPr>
              <w:keepNext w:val="0"/>
              <w:keepLines w:val="0"/>
              <w:pageBreakBefore w:val="0"/>
              <w:widowControl w:val="0"/>
              <w:kinsoku/>
              <w:wordWrap/>
              <w:overflowPunct/>
              <w:topLinePunct w:val="0"/>
              <w:autoSpaceDE w:val="0"/>
              <w:autoSpaceDN w:val="0"/>
              <w:bidi w:val="0"/>
              <w:adjustRightInd/>
              <w:snapToGrid w:val="0"/>
              <w:spacing w:line="400" w:lineRule="exact"/>
              <w:jc w:val="center"/>
              <w:textAlignment w:val="auto"/>
              <w:rPr>
                <w:rFonts w:ascii="仿宋_GB2312" w:hAnsi="仿宋" w:eastAsia="仿宋_GB2312"/>
                <w:color w:val="auto"/>
                <w:sz w:val="24"/>
              </w:rPr>
            </w:pPr>
            <w:r>
              <w:rPr>
                <w:rFonts w:hint="eastAsia" w:ascii="仿宋_GB2312" w:hAnsi="仿宋" w:eastAsia="仿宋_GB2312"/>
                <w:color w:val="auto"/>
                <w:sz w:val="24"/>
              </w:rPr>
              <w:t>100</w:t>
            </w:r>
          </w:p>
        </w:tc>
        <w:tc>
          <w:tcPr>
            <w:tcW w:w="0" w:type="auto"/>
            <w:noWrap w:val="0"/>
            <w:vAlign w:val="center"/>
          </w:tcPr>
          <w:p w14:paraId="31805D59">
            <w:pPr>
              <w:keepNext w:val="0"/>
              <w:keepLines w:val="0"/>
              <w:pageBreakBefore w:val="0"/>
              <w:widowControl w:val="0"/>
              <w:kinsoku/>
              <w:wordWrap/>
              <w:overflowPunct/>
              <w:topLinePunct w:val="0"/>
              <w:autoSpaceDE w:val="0"/>
              <w:autoSpaceDN w:val="0"/>
              <w:bidi w:val="0"/>
              <w:snapToGrid w:val="0"/>
              <w:spacing w:line="320" w:lineRule="exact"/>
              <w:jc w:val="center"/>
              <w:rPr>
                <w:rFonts w:hint="default" w:ascii="仿宋_GB2312" w:hAnsi="仿宋" w:eastAsia="仿宋_GB2312"/>
                <w:color w:val="auto"/>
                <w:sz w:val="24"/>
                <w:lang w:val="en-US" w:eastAsia="zh-CN"/>
              </w:rPr>
            </w:pPr>
            <w:r>
              <w:rPr>
                <w:rFonts w:hint="eastAsia" w:ascii="仿宋_GB2312" w:hAnsi="仿宋" w:eastAsia="仿宋_GB2312"/>
                <w:color w:val="auto"/>
                <w:sz w:val="24"/>
                <w:lang w:val="en-US" w:eastAsia="zh-CN"/>
              </w:rPr>
              <w:t>35</w:t>
            </w:r>
          </w:p>
        </w:tc>
      </w:tr>
    </w:tbl>
    <w:p w14:paraId="1208C26F">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cs="宋体"/>
          <w:color w:val="auto"/>
          <w:spacing w:val="-12"/>
          <w:sz w:val="21"/>
          <w:szCs w:val="21"/>
          <w:lang w:val="en-US" w:eastAsia="zh-CN"/>
        </w:rPr>
      </w:pPr>
    </w:p>
    <w:p w14:paraId="60279730">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备注：巷道实操叙述测点分两个固定点（局部通风机处、掘进工作面），3个随机点（掘进巷道回风流、机电设备、局部测点）选手操作叙述时按照2个固定点（必须叙述）、抽取1个随机测点叙述，共计需实操叙述3处测点即可。</w:t>
      </w:r>
    </w:p>
    <w:p w14:paraId="0CCBA4D6">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竞赛现场操作由裁判员现场评分，采用百分制计算总成绩。总成绩相同时，模拟煤矿井下掘进巷道瓦斯检查叙述演示分数高者名次优先，模拟煤矿井下现场叙述演示分数相同时，用时最短者名次优先，本届大赛获奖选手名次不得并列。</w:t>
      </w:r>
    </w:p>
    <w:p w14:paraId="7270BC2A">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cs="宋体"/>
          <w:color w:val="auto"/>
          <w:spacing w:val="-12"/>
          <w:sz w:val="21"/>
          <w:szCs w:val="21"/>
          <w:lang w:val="en-US" w:eastAsia="zh-CN"/>
        </w:rPr>
      </w:pPr>
    </w:p>
    <w:p w14:paraId="6E7CECCA">
      <w:pPr>
        <w:keepNext w:val="0"/>
        <w:keepLines w:val="0"/>
        <w:pageBreakBefore w:val="0"/>
        <w:widowControl w:val="0"/>
        <w:kinsoku/>
        <w:wordWrap/>
        <w:overflowPunct/>
        <w:topLinePunct w:val="0"/>
        <w:autoSpaceDE w:val="0"/>
        <w:autoSpaceDN w:val="0"/>
        <w:bidi w:val="0"/>
        <w:adjustRightInd/>
        <w:snapToGrid/>
        <w:spacing w:line="240" w:lineRule="auto"/>
        <w:ind w:right="0" w:firstLine="562" w:firstLineChars="200"/>
        <w:jc w:val="both"/>
        <w:textAlignment w:val="baseline"/>
        <w:rPr>
          <w:rFonts w:hint="eastAsia" w:ascii="宋体" w:hAnsi="宋体" w:cs="宋体"/>
          <w:color w:val="auto"/>
          <w:spacing w:val="0"/>
          <w:sz w:val="21"/>
          <w:szCs w:val="21"/>
          <w:lang w:val="en-US" w:eastAsia="zh-CN"/>
        </w:rPr>
      </w:pPr>
      <w:bookmarkStart w:id="14" w:name="_Toc31357"/>
      <w:r>
        <w:rPr>
          <w:rFonts w:hint="eastAsia"/>
          <w:b/>
          <w:bCs/>
          <w:color w:val="auto"/>
          <w:spacing w:val="0"/>
          <w:sz w:val="28"/>
          <w:szCs w:val="28"/>
          <w:lang w:val="en-US" w:eastAsia="zh-CN"/>
        </w:rPr>
        <w:fldChar w:fldCharType="begin"/>
      </w:r>
      <w:r>
        <w:rPr>
          <w:rFonts w:hint="eastAsia"/>
          <w:b/>
          <w:bCs/>
          <w:color w:val="auto"/>
          <w:spacing w:val="0"/>
          <w:sz w:val="28"/>
          <w:szCs w:val="28"/>
          <w:lang w:val="en-US" w:eastAsia="zh-CN"/>
        </w:rPr>
        <w:instrText xml:space="preserve"> HYPERLINK \l "_Toc24329" </w:instrText>
      </w:r>
      <w:r>
        <w:rPr>
          <w:rFonts w:hint="eastAsia"/>
          <w:b/>
          <w:bCs/>
          <w:color w:val="auto"/>
          <w:spacing w:val="0"/>
          <w:sz w:val="28"/>
          <w:szCs w:val="28"/>
          <w:lang w:val="en-US" w:eastAsia="zh-CN"/>
        </w:rPr>
        <w:fldChar w:fldCharType="separate"/>
      </w:r>
      <w:bookmarkStart w:id="15" w:name="_Toc87011403"/>
      <w:r>
        <w:rPr>
          <w:rFonts w:hint="eastAsia"/>
          <w:b/>
          <w:bCs/>
          <w:color w:val="auto"/>
          <w:spacing w:val="0"/>
          <w:sz w:val="28"/>
          <w:szCs w:val="28"/>
          <w:lang w:val="en-US" w:eastAsia="zh-CN"/>
        </w:rPr>
        <w:t>（三）竞赛评判标准</w:t>
      </w:r>
      <w:bookmarkEnd w:id="15"/>
      <w:r>
        <w:rPr>
          <w:rFonts w:hint="eastAsia"/>
          <w:b/>
          <w:bCs/>
          <w:color w:val="auto"/>
          <w:spacing w:val="0"/>
          <w:sz w:val="28"/>
          <w:szCs w:val="28"/>
          <w:lang w:val="en-US" w:eastAsia="zh-CN"/>
        </w:rPr>
        <w:fldChar w:fldCharType="end"/>
      </w:r>
      <w:bookmarkEnd w:id="14"/>
    </w:p>
    <w:p w14:paraId="79C4F496">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 xml:space="preserve">煤矿瓦斯检查实际操作考试要点与评分细则： </w:t>
      </w:r>
    </w:p>
    <w:p w14:paraId="2C07D8A5">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 xml:space="preserve">（一）光学瓦斯检定器选定及故障判断。（30 分） </w:t>
      </w:r>
    </w:p>
    <w:p w14:paraId="514AB79A">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 xml:space="preserve">①每组有一台完好仪器，参赛人员应选出完好仪器。 </w:t>
      </w:r>
    </w:p>
    <w:p w14:paraId="2D0E5138">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②错判、漏判仪器故障点。查出并记录其余 4 台仪器存在的10 个故障，4 台故障仪器中每台仪器有 1-3 个故障，故障不重复。</w:t>
      </w:r>
    </w:p>
    <w:p w14:paraId="74EE47B8">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具体评分标准：</w:t>
      </w:r>
    </w:p>
    <w:p w14:paraId="49B9D4EC">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附件1 光学瓦斯检定器的选定、故障判断评分标准；</w:t>
      </w:r>
    </w:p>
    <w:p w14:paraId="6F72BE95">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附件2 光学瓦斯检定器故障判断报告表；</w:t>
      </w:r>
    </w:p>
    <w:p w14:paraId="5A6C893D">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附件3 光学瓦斯检定器故障类别；</w:t>
      </w:r>
    </w:p>
    <w:p w14:paraId="3D3BEA26">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（二）模拟矿井井下掘进巷道瓦斯检查操作演示（50 分）</w:t>
      </w:r>
    </w:p>
    <w:p w14:paraId="348B3C1D">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测定瓦斯前的准备工作</w:t>
      </w:r>
    </w:p>
    <w:p w14:paraId="22F9CA61">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default"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仪器完好性检查</w:t>
      </w:r>
    </w:p>
    <w:p w14:paraId="6EA46D33">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①目镜组件:护盖、链条完好，两固定点牢固，固定螺丝齐全；提、按、旋转过程中，平稳、灵活可靠、无松动、无卡滞现象。</w:t>
      </w:r>
    </w:p>
    <w:p w14:paraId="402B3A34">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②开关:护套贴紧开关，松紧适度、无缺损；两光源开关按时有弹性且完好。</w:t>
      </w:r>
    </w:p>
    <w:p w14:paraId="55C2028D">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③主调螺旋:护盖、链条完好，两固定点牢固；旋钮完好，旋时灵活可靠，无杂音、无松动、无卡滞现象。</w:t>
      </w:r>
    </w:p>
    <w:p w14:paraId="089D3085">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④皮套、背带:皮套完整、无缺损、纽扣能扣上；背带完好、长度适宜。</w:t>
      </w:r>
    </w:p>
    <w:p w14:paraId="0E678BA9">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⑤微调螺旋:旋钮完好，旋时灵活可靠，无杂音、无松动、无卡滞现象。</w:t>
      </w:r>
    </w:p>
    <w:p w14:paraId="4180AEB8">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药品检查</w:t>
      </w:r>
    </w:p>
    <w:p w14:paraId="794B0BCF">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①水分吸收管检查：硅胶光滑呈深蓝色颗粒状，变粉红色为失效；吸收管内装的隔圈相隔要均匀、平整，两端要垫匀脱脂棉，内装的药量要适当。</w:t>
      </w:r>
    </w:p>
    <w:p w14:paraId="51FE9AA0">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②二氧化碳吸收管检查：药品（钠石灰）呈鲜艳粉红色，药量适当、颗粒粒度均匀（一般2～5mm）。变浅、变粉白色为失效，呈粉末状为不合格，必更换，更换后需做简单的气密性和畅通性试验。</w:t>
      </w:r>
    </w:p>
    <w:p w14:paraId="15C818F9">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气路系统检查</w:t>
      </w:r>
    </w:p>
    <w:p w14:paraId="21363F57">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①检查胶管、吸气球：胶管无缺损，长度适宜；吸气球完好、无龟裂、瘪起自如。</w:t>
      </w:r>
    </w:p>
    <w:p w14:paraId="75E3D61C">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②检查仪器密封性：用手捏扁吸气球，另一手堵住检测胶管进气孔，然后放松吸气球，吸气球一分钟不胀起，表明气路系统不漏气。</w:t>
      </w:r>
    </w:p>
    <w:p w14:paraId="77E4F9E3">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③检查气路是否畅通：放开进气孔，捏放吸气球，吸气球瘪起自如时，表明气路畅通。</w:t>
      </w:r>
    </w:p>
    <w:p w14:paraId="26E24E41">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电路系统和光路系统检查</w:t>
      </w:r>
    </w:p>
    <w:p w14:paraId="16468E87">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①光干涉条纹检查：按下光源电门，调节目镜筒，观察分划板刻度和光干涉条纹清晰，光源灯泡亮度充分。</w:t>
      </w:r>
    </w:p>
    <w:p w14:paraId="3648C5AE">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②微读数检查：按下微读数电门，观察微读数窗口，光亮充分、刻度清晰。</w:t>
      </w:r>
    </w:p>
    <w:p w14:paraId="654909C2">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仪器精密度检查</w:t>
      </w:r>
    </w:p>
    <w:p w14:paraId="1F5F1F27">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①主读数精度检查：按下光源电门，将光谱的第一条黑色条纹(左侧黑纹)调整到“0”位，第5条条纹与分划板上“7％”数值重合，表明条纹宽窄适当，精度符合要求。</w:t>
      </w:r>
    </w:p>
    <w:p w14:paraId="7F9BA798">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②微读数精度检查：按下微读数电门，把微读数刻度盘调到零位；按下光源电门，调主调螺旋，由目镜观察，使即定的黑色条纹调整到分划板上“1％”位置；调整微调螺旋，使微读数刻度盘从“0”转到“1.0”，分划板上原对“l％”的黑色条纹恰好回到分划板上的零位时表明小数精度合格（小数精度允许误差为±O.02％）。</w:t>
      </w:r>
    </w:p>
    <w:p w14:paraId="792AFF67">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仪器整理</w:t>
      </w:r>
    </w:p>
    <w:p w14:paraId="645F3F81">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将检查完好的仪器放入工具包或背在肩上（要求整理好），然后根据井下工作要求，领取瓦斯检查记录手册、笔、白板笔、温度计、瓦斯检查仗等工具和用品。</w:t>
      </w:r>
    </w:p>
    <w:p w14:paraId="7567ACF0">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p>
    <w:p w14:paraId="7CEA11D8">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掘进巷道瓦斯检查</w:t>
      </w:r>
    </w:p>
    <w:p w14:paraId="2C0C852C">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清洗气室并调零</w:t>
      </w:r>
    </w:p>
    <w:p w14:paraId="789E4C66">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①清洗瓦斯气室：在待测瓦斯地点的进风流中，将二氧化碳吸收管、水分吸收管都接入测量气路，捏放吸气球5～10次，吸入新鲜空气清洗瓦斯气室。</w:t>
      </w:r>
    </w:p>
    <w:p w14:paraId="771492C2">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 xml:space="preserve">②仪器调零：按下微读电源电门，观看微读数观测窗，旋转微调螺旋，使微读数刻度盘的零位与指示板零位线重合；按下光源电门，观看目镜，旋下主调螺旋盖，调主调螺旋，在干涉条纹中选定一条黑基线与分划板上零位重合，并记住这条黑基线;再捏放吸气球5～10次，看黑基线是否漂移,如果出现漂移，需重新调零。调零完毕要盖好主调螺旋盖，防止基线因碰撞而移动。 </w:t>
      </w:r>
    </w:p>
    <w:p w14:paraId="5D73C896">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模拟井下掘进巷道现场进行瓦斯和二氧化碳浓度检查操作演示</w:t>
      </w:r>
    </w:p>
    <w:p w14:paraId="66212031">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1.局部通风机处的瓦斯检查（必考测点）</w:t>
      </w:r>
    </w:p>
    <w:p w14:paraId="524B0AEF">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检测局部通风机及其开关附近10m范围内风流中瓦斯浓度、二氧化碳浓度以及温度情况。</w:t>
      </w:r>
    </w:p>
    <w:p w14:paraId="384F174C">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检测瓦斯浓度时，将二氧化碳吸收管的进气端胶管置于待测位置 ，在巷道风流上部，将仪器进气口伸到距顶板200～300mm处，捏吸气球5～10次，将待测气体吸入瓦斯室，读数，按下光源电门，由目镜观察黑基线位置，若黑基线刚好在某整数上，直接读出该数即为测定的瓦斯浓度，若黑基线在两整数之间，应顺时针转动微调手轮，使黑基线退到较小的整数上，读出整数，再读出微读窗口上的小数，整数加上小数即为测定的瓦斯浓度，连续测三次，取其最大值。</w:t>
      </w:r>
    </w:p>
    <w:p w14:paraId="59BCCD57">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检测二氧化碳浓度时，将二氧化碳吸收管的进气端胶管置于待测位置。测定二氧化碳在巷道风流下部，距底板200～300mm处。先测下部瓦斯，捏吸气球5～10次，将待测气体吸入瓦斯室，读取下部瓦斯浓度。去掉二氧化碳吸收管，接入进气管，将仪器进气口置于待测位置，捏吸气球5～10次，将待测气体吸入瓦斯室，读取下部混合气体浓度。测定的下部混合气体浓度减去下部瓦斯浓度再乘以校正系数0.955，约为所测定的二氧化碳浓度，连续测三次，取其最大值。</w:t>
      </w:r>
    </w:p>
    <w:p w14:paraId="4691C2FE">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测定温度时，在与人体及制冷制热设备间隔超过0.5m位置处测定，测定时间不低于5min、且在温度计示值稳定后读数。</w:t>
      </w:r>
    </w:p>
    <w:p w14:paraId="00248070">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及时将检查结果填入瓦斯检查记录手册、现场的瓦斯检查记录牌板上。</w:t>
      </w:r>
    </w:p>
    <w:p w14:paraId="7A80491D">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②掘进巷道回风流A（机电设备B、局部测点C）的瓦斯检查</w:t>
      </w:r>
    </w:p>
    <w:p w14:paraId="6884F3F7">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 xml:space="preserve">A在掘进巷道回风口向工作面方向10～15m左右位置，检测瓦斯、二氧化碳浓度以及温度情况。 </w:t>
      </w:r>
    </w:p>
    <w:p w14:paraId="1F4B3666">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B 检测掘进巷道内机电设备附近20m范围内风流中瓦斯浓度、二氧化碳浓度及温度情况</w:t>
      </w:r>
    </w:p>
    <w:p w14:paraId="3497E695">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C检测掘进工作面局部测点内风流中瓦斯浓度、二氧化碳浓度及温度情况</w:t>
      </w:r>
    </w:p>
    <w:p w14:paraId="6784FB16">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检测瓦斯浓度时，将二氧化碳吸收管的进气端胶管置于待测位置 ，在巷道风流上部，将仪器进气口伸到距顶板200～300mm处，捏放吸气球5～10次，将待测气体吸入瓦斯室，读数，按下光源电门，由目镜观察黑基线位置，若黑基线刚好在某整数上，直接读出该数即为测定的瓦斯浓度，若黑基线在两整数之间，应顺时针转动微调手轮，使黑基线退到较小的整数上，读出整数，再读出微读窗口上的小数，整数加上小数即为测定的瓦斯浓度，连续测三次，取其最大值。</w:t>
      </w:r>
    </w:p>
    <w:p w14:paraId="52A01115">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检测二氧化碳浓度时，将二氧化碳吸收管的进气端胶管置于待测位置。测定二氧化碳在巷道风流下部，距底板200～300mm处。先测下部瓦斯，捏放吸气球5～10次，将待测气体吸入瓦斯室，读取下部瓦斯浓度。去掉二氧化碳吸收管，接入进气管，将仪器进气口置于待测位置，捏放吸气球5～10次，将待测气体吸入瓦斯室，读取下部混合气体浓度。测定的下部混合气体浓度减去下部瓦斯浓度再乘以校正系数0.955，约为所测定的二氧化碳浓度，连续测三次，取其最大值。</w:t>
      </w:r>
    </w:p>
    <w:p w14:paraId="0A0CB3C8">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测定温度时，在与人体及制冷制热设备间隔超过0.5m位置处测定，测定时间不低于5min、且在温度计示值稳定后读数。</w:t>
      </w:r>
    </w:p>
    <w:p w14:paraId="3FD85B52">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及时将检查结果填入瓦斯检查记录手册、现场的瓦斯检查记录牌板上。</w:t>
      </w:r>
    </w:p>
    <w:p w14:paraId="3BDB495E">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③掘进工作面的瓦斯检查</w:t>
      </w:r>
    </w:p>
    <w:p w14:paraId="5D6FD06C">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 xml:space="preserve"> 检测掘进工作面瓦斯、二氧化碳浓度时，应在掘进工作面至风筒出风口距巷道顶、帮、底各为200～300mm的巷道空间内的风流中进行，测量时要避开风筒出风口。温度测点为掘进工作面距迎头2m处工作面风流中。</w:t>
      </w:r>
    </w:p>
    <w:p w14:paraId="36637D42">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检测瓦斯浓度时，将二氧化碳吸收管的进气端胶管置于待测位置 ，在巷道风流上部，将仪器进气口伸到距巷道顶、帮、工作面煤壁各为200～300mm的巷道空间内风流中，捏放吸气球5～10次，将待测气体吸入瓦斯室，读数，按下光源电门，由目镜观察黑基线位置，若黑基线刚好在某整数上，直接读出该数即为测定的瓦斯浓度，若黑基线在两整数之间，应顺时针转动微调手轮，使黑基线退到较小的整数上，读出整数，再读出微读窗口上的小数，整数加上小数即为测定的瓦斯浓度，连续测三次，取其最大值。</w:t>
      </w:r>
    </w:p>
    <w:p w14:paraId="4BB02D45">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检测二氧化碳浓度时，将二氧化碳吸收管的进气端胶管置于待测位置。测定二氧化碳在巷道风流下部，距底板200～300mm处。先测下部瓦斯，捏放吸气球5～10次，将待测气体吸入瓦斯室，读取下部瓦斯浓度。去掉二氧化碳吸收管，接入进气管，将仪器进气口置于待测位置，捏放吸气球5～10次，将待测气体吸入瓦斯室，读取下部混合气体浓度。测定的下部混合气体浓度减去下部瓦斯浓度再乘以校正系数0.955，约为所测定的二氧化碳浓度，连续测三次，取其最大值。</w:t>
      </w:r>
    </w:p>
    <w:p w14:paraId="5FB95AE8">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测定温度时，在与人体及制冷制热设备间隔超过0.5m位置处测定，测定时间不低于5min、且在温度计示值稳定后读数。</w:t>
      </w:r>
    </w:p>
    <w:p w14:paraId="7DB278B9">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观察现场甲烷传感器显示值，与光学瓦斯检定器进行比对，当相差较大时，以最大值为依据，记录并汇报调度。</w:t>
      </w:r>
    </w:p>
    <w:p w14:paraId="2CEAE744">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及时将检查结果填入瓦斯检查记录手册、现场的瓦斯检查记录牌板上。</w:t>
      </w:r>
    </w:p>
    <w:p w14:paraId="21A43CC5">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（三）模拟矿井一氧化碳浓度检查操作演示及应急处置（20分）</w:t>
      </w:r>
    </w:p>
    <w:p w14:paraId="7EB052CB">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1.参赛选手根据待测地点一氧化碳浓度值，选取对应的一氧化碳检测管型号。（现场裁判员指定一氧化碳浓度值，参赛选手通过浓度值选取对应的一氧化碳检测管型号）</w:t>
      </w:r>
    </w:p>
    <w:p w14:paraId="4776418D">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一氧化碳检测管型号如下：</w:t>
      </w:r>
    </w:p>
    <w:p w14:paraId="1FA2820D">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I型：5ppm-50ppm</w:t>
      </w:r>
    </w:p>
    <w:p w14:paraId="3E2C3DE2">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Ⅱ型：10ppm-500ppm</w:t>
      </w:r>
    </w:p>
    <w:p w14:paraId="1AC233A3">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III型：100ppm-5000ppm</w:t>
      </w:r>
    </w:p>
    <w:p w14:paraId="2565812A">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（1）测定准备</w:t>
      </w:r>
    </w:p>
    <w:p w14:paraId="6E7061F0">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a.检查采样器附件是否齐全；</w:t>
      </w:r>
    </w:p>
    <w:p w14:paraId="2D4AAD73">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b.检查采样器进、出气口是否畅通；</w:t>
      </w:r>
    </w:p>
    <w:p w14:paraId="6A2CAF98">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c.确认采样器三通阀开、关灵活；</w:t>
      </w:r>
    </w:p>
    <w:p w14:paraId="70C38B7B">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d.将采样器三通阀把打到 45°关闭位置，把活塞拉到最大位置后松开，确认活塞能够自动恢复原状或者活塞的余量不大于 5ml 时，采样器气密性良好；</w:t>
      </w:r>
    </w:p>
    <w:p w14:paraId="53BFF076">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e.确认 CO 检测管在有效期内，并且与待查地点的气体浓度范围相匹配。</w:t>
      </w:r>
    </w:p>
    <w:p w14:paraId="3E8DC6C3">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（2）抽取气样</w:t>
      </w:r>
    </w:p>
    <w:p w14:paraId="1EBA46E0">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a.将采样器三通阀把打到水平吸气位置，抽送采样器活塞往复3～5次，吸入规定量的待测气样；</w:t>
      </w:r>
    </w:p>
    <w:p w14:paraId="0A3DF510">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b.将采样器三通阀把打到 45°关闭位置；</w:t>
      </w:r>
    </w:p>
    <w:p w14:paraId="5F0F2B5F">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c.打开 CO 检测管两端封口；</w:t>
      </w:r>
    </w:p>
    <w:p w14:paraId="50A0E0A2">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d.把 CO 检测管浓度标尺标（0）端插入到采样器采样插孔中；</w:t>
      </w:r>
    </w:p>
    <w:p w14:paraId="3DA63E32">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e.将采样器三通阀把打到垂直充气位置， 推动活塞将气样匀速充入CO 检测管内；</w:t>
      </w:r>
    </w:p>
    <w:p w14:paraId="65E62C99">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f.读取 CO 检测管上棕色环最大刻度对应的 CO 浓度值。</w:t>
      </w:r>
    </w:p>
    <w:p w14:paraId="28AEEEB2">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2.应急处理</w:t>
      </w:r>
    </w:p>
    <w:p w14:paraId="43569FA6">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 xml:space="preserve">选手现场抽签决定需要应急处理的情况。如掘进工作面回风流瓦斯超限、局部通风机停止运转、局部瓦斯积聚、煤与瓦斯突出预兆等，应及时做出相应处理。具体处理方案见附件5。 </w:t>
      </w:r>
    </w:p>
    <w:p w14:paraId="5445F139">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 xml:space="preserve">3.数据整理 </w:t>
      </w:r>
    </w:p>
    <w:p w14:paraId="2ACBAD46">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 xml:space="preserve">所有检查项目结束后，选手应将瓦斯检查手册交给工作人员 。 </w:t>
      </w:r>
    </w:p>
    <w:p w14:paraId="2243B782">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具体评分标准：</w:t>
      </w:r>
    </w:p>
    <w:p w14:paraId="1899E3B8">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附件4：模拟矿井井下掘进巷道瓦斯检查操作演示评分标准</w:t>
      </w:r>
    </w:p>
    <w:p w14:paraId="7622BE33">
      <w:pPr>
        <w:keepNext w:val="0"/>
        <w:keepLines w:val="0"/>
        <w:pageBreakBefore w:val="0"/>
        <w:widowControl w:val="0"/>
        <w:kinsoku/>
        <w:wordWrap/>
        <w:overflowPunct/>
        <w:topLinePunct w:val="0"/>
        <w:autoSpaceDE w:val="0"/>
        <w:autoSpaceDN w:val="0"/>
        <w:bidi w:val="0"/>
        <w:adjustRightInd/>
        <w:snapToGrid/>
        <w:spacing w:line="240" w:lineRule="auto"/>
        <w:ind w:firstLine="618"/>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附件5：现场出现异常情况应急处理方案</w:t>
      </w:r>
    </w:p>
    <w:p w14:paraId="3272ABF9">
      <w:pPr>
        <w:pStyle w:val="4"/>
        <w:keepNext w:val="0"/>
        <w:keepLines w:val="0"/>
        <w:pageBreakBefore w:val="0"/>
        <w:widowControl w:val="0"/>
        <w:kinsoku/>
        <w:wordWrap/>
        <w:overflowPunct/>
        <w:topLinePunct w:val="0"/>
        <w:autoSpaceDE w:val="0"/>
        <w:autoSpaceDN w:val="0"/>
        <w:bidi w:val="0"/>
        <w:spacing w:after="0" w:line="240" w:lineRule="auto"/>
        <w:ind w:left="0" w:leftChars="0" w:firstLine="538" w:firstLineChars="200"/>
        <w:outlineLvl w:val="1"/>
        <w:rPr>
          <w:rFonts w:hint="eastAsia"/>
          <w:b/>
          <w:bCs/>
          <w:color w:val="auto"/>
          <w:spacing w:val="-6"/>
          <w:sz w:val="28"/>
          <w:szCs w:val="28"/>
        </w:rPr>
      </w:pPr>
    </w:p>
    <w:p w14:paraId="77CE8434">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0"/>
        <w:rPr>
          <w:rFonts w:hint="eastAsia"/>
          <w:b/>
          <w:bCs/>
          <w:color w:val="auto"/>
          <w:spacing w:val="-6"/>
          <w:sz w:val="32"/>
          <w:szCs w:val="32"/>
          <w:lang w:val="en-US" w:eastAsia="zh-CN"/>
        </w:rPr>
      </w:pPr>
      <w:r>
        <w:rPr>
          <w:rFonts w:hint="eastAsia"/>
          <w:b/>
          <w:bCs/>
          <w:color w:val="auto"/>
          <w:spacing w:val="0"/>
          <w:sz w:val="32"/>
          <w:szCs w:val="32"/>
          <w:lang w:val="en-US" w:eastAsia="zh-CN"/>
        </w:rPr>
        <w:fldChar w:fldCharType="begin"/>
      </w:r>
      <w:r>
        <w:rPr>
          <w:rFonts w:hint="eastAsia"/>
          <w:b/>
          <w:bCs/>
          <w:color w:val="auto"/>
          <w:spacing w:val="0"/>
          <w:sz w:val="32"/>
          <w:szCs w:val="32"/>
          <w:lang w:val="en-US" w:eastAsia="zh-CN"/>
        </w:rPr>
        <w:instrText xml:space="preserve"> HYPERLINK \l _Toc21088 </w:instrText>
      </w:r>
      <w:r>
        <w:rPr>
          <w:rFonts w:hint="eastAsia"/>
          <w:b/>
          <w:bCs/>
          <w:color w:val="auto"/>
          <w:spacing w:val="0"/>
          <w:sz w:val="32"/>
          <w:szCs w:val="32"/>
          <w:lang w:val="en-US" w:eastAsia="zh-CN"/>
        </w:rPr>
        <w:fldChar w:fldCharType="separate"/>
      </w:r>
      <w:r>
        <w:rPr>
          <w:rFonts w:hint="eastAsia"/>
          <w:b/>
          <w:bCs/>
          <w:color w:val="auto"/>
          <w:spacing w:val="0"/>
          <w:sz w:val="32"/>
          <w:szCs w:val="32"/>
          <w:lang w:val="en-US" w:eastAsia="zh-CN"/>
        </w:rPr>
        <w:t>三、竞赛细则</w:t>
      </w:r>
      <w:r>
        <w:rPr>
          <w:rFonts w:hint="eastAsia"/>
          <w:b/>
          <w:bCs/>
          <w:color w:val="auto"/>
          <w:spacing w:val="0"/>
          <w:sz w:val="32"/>
          <w:szCs w:val="32"/>
          <w:lang w:val="en-US" w:eastAsia="zh-CN"/>
        </w:rPr>
        <w:fldChar w:fldCharType="end"/>
      </w:r>
    </w:p>
    <w:p w14:paraId="09D2457E">
      <w:pPr>
        <w:keepNext w:val="0"/>
        <w:keepLines w:val="0"/>
        <w:pageBreakBefore w:val="0"/>
        <w:widowControl w:val="0"/>
        <w:kinsoku/>
        <w:wordWrap/>
        <w:overflowPunct/>
        <w:topLinePunct w:val="0"/>
        <w:autoSpaceDE w:val="0"/>
        <w:autoSpaceDN w:val="0"/>
        <w:bidi w:val="0"/>
        <w:adjustRightInd/>
        <w:snapToGrid/>
        <w:spacing w:line="240" w:lineRule="auto"/>
        <w:ind w:left="0" w:right="0" w:firstLine="396" w:firstLineChars="200"/>
        <w:jc w:val="both"/>
        <w:textAlignment w:val="baseline"/>
        <w:rPr>
          <w:rFonts w:hint="default" w:ascii="宋体" w:hAnsi="宋体" w:eastAsia="宋体" w:cs="宋体"/>
          <w:b/>
          <w:bCs/>
          <w:color w:val="auto"/>
          <w:spacing w:val="-6"/>
          <w:sz w:val="21"/>
          <w:szCs w:val="21"/>
          <w:highlight w:val="yellow"/>
          <w:shd w:val="clear" w:color="FFFFFF" w:fill="D9D9D9"/>
          <w:lang w:val="en-US" w:eastAsia="zh-CN"/>
        </w:rPr>
      </w:pPr>
      <w:r>
        <w:rPr>
          <w:rFonts w:hint="eastAsia" w:ascii="宋体" w:hAnsi="宋体" w:cs="宋体"/>
          <w:color w:val="auto"/>
          <w:spacing w:val="-6"/>
          <w:sz w:val="21"/>
          <w:szCs w:val="21"/>
          <w:lang w:val="en-US" w:eastAsia="zh-CN"/>
        </w:rPr>
        <w:t xml:space="preserve"> 竞赛要求选手提前统一进行赛项规程学习，裁判员竞赛前一天报道进行执裁培训。培训时间另行通知。</w:t>
      </w:r>
    </w:p>
    <w:p w14:paraId="16C6FC4C">
      <w:pPr>
        <w:keepNext w:val="0"/>
        <w:keepLines w:val="0"/>
        <w:pageBreakBefore w:val="0"/>
        <w:widowControl w:val="0"/>
        <w:kinsoku/>
        <w:wordWrap/>
        <w:overflowPunct/>
        <w:topLinePunct w:val="0"/>
        <w:autoSpaceDE w:val="0"/>
        <w:autoSpaceDN w:val="0"/>
        <w:bidi w:val="0"/>
        <w:adjustRightInd/>
        <w:snapToGrid/>
        <w:spacing w:line="240" w:lineRule="auto"/>
        <w:ind w:firstLine="562" w:firstLineChars="200"/>
        <w:jc w:val="both"/>
        <w:textAlignment w:val="auto"/>
        <w:outlineLvl w:val="1"/>
        <w:rPr>
          <w:rFonts w:hint="eastAsia"/>
          <w:b/>
          <w:bCs/>
          <w:color w:val="auto"/>
          <w:spacing w:val="0"/>
          <w:sz w:val="28"/>
          <w:szCs w:val="28"/>
          <w:lang w:eastAsia="zh-CN"/>
        </w:rPr>
      </w:pPr>
      <w:r>
        <w:rPr>
          <w:rFonts w:hint="eastAsia"/>
          <w:b/>
          <w:bCs/>
          <w:color w:val="auto"/>
          <w:spacing w:val="0"/>
          <w:sz w:val="28"/>
          <w:szCs w:val="28"/>
          <w:lang w:eastAsia="zh-CN"/>
        </w:rPr>
        <w:fldChar w:fldCharType="begin"/>
      </w:r>
      <w:r>
        <w:rPr>
          <w:rFonts w:hint="eastAsia"/>
          <w:b/>
          <w:bCs/>
          <w:color w:val="auto"/>
          <w:spacing w:val="0"/>
          <w:sz w:val="28"/>
          <w:szCs w:val="28"/>
          <w:lang w:eastAsia="zh-CN"/>
        </w:rPr>
        <w:instrText xml:space="preserve"> HYPERLINK \l "_Toc13017" </w:instrText>
      </w:r>
      <w:r>
        <w:rPr>
          <w:rFonts w:hint="eastAsia"/>
          <w:b/>
          <w:bCs/>
          <w:color w:val="auto"/>
          <w:spacing w:val="0"/>
          <w:sz w:val="28"/>
          <w:szCs w:val="28"/>
          <w:lang w:eastAsia="zh-CN"/>
        </w:rPr>
        <w:fldChar w:fldCharType="separate"/>
      </w:r>
      <w:bookmarkStart w:id="16" w:name="_Toc135467057"/>
      <w:bookmarkStart w:id="17" w:name="_Toc135429295"/>
      <w:bookmarkStart w:id="18" w:name="_Toc135436582"/>
      <w:bookmarkStart w:id="19" w:name="_Toc135424223"/>
      <w:r>
        <w:rPr>
          <w:rFonts w:hint="eastAsia"/>
          <w:b/>
          <w:bCs/>
          <w:color w:val="auto"/>
          <w:spacing w:val="0"/>
          <w:sz w:val="28"/>
          <w:szCs w:val="28"/>
          <w:lang w:eastAsia="zh-CN"/>
        </w:rPr>
        <w:t>（一）</w:t>
      </w:r>
      <w:r>
        <w:rPr>
          <w:rFonts w:hint="eastAsia"/>
          <w:b/>
          <w:bCs/>
          <w:color w:val="auto"/>
          <w:spacing w:val="0"/>
          <w:sz w:val="28"/>
          <w:szCs w:val="28"/>
          <w:lang w:val="en-US" w:eastAsia="zh-CN"/>
        </w:rPr>
        <w:t>竞赛时间</w:t>
      </w:r>
      <w:r>
        <w:rPr>
          <w:rFonts w:hint="eastAsia"/>
          <w:b/>
          <w:bCs/>
          <w:color w:val="auto"/>
          <w:spacing w:val="0"/>
          <w:sz w:val="28"/>
          <w:szCs w:val="28"/>
          <w:lang w:eastAsia="zh-CN"/>
        </w:rPr>
        <w:t>安排</w:t>
      </w:r>
      <w:bookmarkEnd w:id="16"/>
      <w:bookmarkEnd w:id="17"/>
      <w:bookmarkEnd w:id="18"/>
      <w:bookmarkEnd w:id="19"/>
      <w:r>
        <w:rPr>
          <w:rFonts w:hint="eastAsia"/>
          <w:b/>
          <w:bCs/>
          <w:color w:val="auto"/>
          <w:spacing w:val="0"/>
          <w:sz w:val="28"/>
          <w:szCs w:val="28"/>
          <w:lang w:eastAsia="zh-CN"/>
        </w:rPr>
        <w:fldChar w:fldCharType="end"/>
      </w:r>
    </w:p>
    <w:p w14:paraId="26881D4E">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default" w:ascii="宋体" w:hAnsi="宋体" w:eastAsia="宋体" w:cs="宋体"/>
          <w:color w:val="auto"/>
          <w:spacing w:val="-12"/>
          <w:sz w:val="21"/>
          <w:szCs w:val="21"/>
          <w:lang w:val="en-US"/>
        </w:rPr>
      </w:pPr>
      <w:bookmarkStart w:id="20" w:name="_Toc135424224"/>
      <w:r>
        <w:rPr>
          <w:rFonts w:hint="eastAsia" w:ascii="宋体" w:hAnsi="宋体" w:eastAsia="宋体" w:cs="宋体"/>
          <w:color w:val="auto"/>
          <w:spacing w:val="-12"/>
          <w:sz w:val="21"/>
          <w:szCs w:val="21"/>
        </w:rPr>
        <w:t>1</w:t>
      </w:r>
      <w:r>
        <w:rPr>
          <w:rFonts w:hint="eastAsia" w:ascii="宋体" w:hAnsi="宋体" w:eastAsia="宋体" w:cs="宋体"/>
          <w:color w:val="auto"/>
          <w:spacing w:val="-12"/>
          <w:sz w:val="21"/>
          <w:szCs w:val="21"/>
          <w:lang w:val="en-US" w:eastAsia="zh-CN"/>
        </w:rPr>
        <w:t>.</w:t>
      </w:r>
      <w:r>
        <w:rPr>
          <w:rFonts w:hint="eastAsia" w:ascii="宋体" w:hAnsi="宋体" w:eastAsia="宋体" w:cs="宋体"/>
          <w:color w:val="auto"/>
          <w:spacing w:val="-12"/>
          <w:sz w:val="21"/>
          <w:szCs w:val="21"/>
        </w:rPr>
        <w:t>竞赛时间：</w:t>
      </w:r>
      <w:r>
        <w:rPr>
          <w:rFonts w:hint="eastAsia" w:ascii="宋体" w:hAnsi="宋体" w:cs="宋体"/>
          <w:color w:val="auto"/>
          <w:spacing w:val="-12"/>
          <w:sz w:val="21"/>
          <w:szCs w:val="21"/>
          <w:lang w:val="en-US" w:eastAsia="zh-CN"/>
        </w:rPr>
        <w:t xml:space="preserve"> </w:t>
      </w:r>
      <w:bookmarkEnd w:id="20"/>
      <w:r>
        <w:rPr>
          <w:rFonts w:hint="eastAsia" w:ascii="宋体" w:hAnsi="宋体" w:cs="宋体"/>
          <w:color w:val="auto"/>
          <w:spacing w:val="-12"/>
          <w:sz w:val="21"/>
          <w:szCs w:val="21"/>
          <w:lang w:val="en-US" w:eastAsia="zh-CN"/>
        </w:rPr>
        <w:t>竞赛日程预计为一天半时间。</w:t>
      </w:r>
    </w:p>
    <w:p w14:paraId="553D82BC">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default" w:ascii="宋体" w:hAnsi="宋体" w:eastAsia="宋体" w:cs="宋体"/>
          <w:color w:val="auto"/>
          <w:spacing w:val="-12"/>
          <w:sz w:val="21"/>
          <w:szCs w:val="21"/>
          <w:lang w:val="en-US" w:eastAsia="zh-CN"/>
        </w:rPr>
      </w:pPr>
      <w:bookmarkStart w:id="21" w:name="_Toc135424225"/>
      <w:r>
        <w:rPr>
          <w:rFonts w:hint="eastAsia" w:ascii="宋体" w:hAnsi="宋体" w:eastAsia="宋体" w:cs="宋体"/>
          <w:color w:val="auto"/>
          <w:spacing w:val="-12"/>
          <w:sz w:val="21"/>
          <w:szCs w:val="21"/>
        </w:rPr>
        <w:t>2</w:t>
      </w:r>
      <w:r>
        <w:rPr>
          <w:rFonts w:hint="eastAsia" w:ascii="宋体" w:hAnsi="宋体" w:eastAsia="宋体" w:cs="宋体"/>
          <w:color w:val="auto"/>
          <w:spacing w:val="-12"/>
          <w:sz w:val="21"/>
          <w:szCs w:val="21"/>
          <w:lang w:val="en-US" w:eastAsia="zh-CN"/>
        </w:rPr>
        <w:t>.</w:t>
      </w:r>
      <w:r>
        <w:rPr>
          <w:rFonts w:hint="eastAsia" w:ascii="宋体" w:hAnsi="宋体" w:cs="宋体"/>
          <w:color w:val="auto"/>
          <w:spacing w:val="-12"/>
          <w:sz w:val="21"/>
          <w:szCs w:val="21"/>
          <w:lang w:val="en-US" w:eastAsia="zh-CN"/>
        </w:rPr>
        <w:t>竞赛流程</w:t>
      </w:r>
      <w:r>
        <w:rPr>
          <w:rFonts w:hint="eastAsia" w:ascii="宋体" w:hAnsi="宋体" w:eastAsia="宋体" w:cs="宋体"/>
          <w:color w:val="auto"/>
          <w:spacing w:val="-12"/>
          <w:sz w:val="21"/>
          <w:szCs w:val="21"/>
        </w:rPr>
        <w:t>：</w:t>
      </w:r>
      <w:bookmarkEnd w:id="21"/>
      <w:r>
        <w:rPr>
          <w:rFonts w:hint="eastAsia" w:ascii="宋体" w:hAnsi="宋体" w:cs="宋体"/>
          <w:color w:val="auto"/>
          <w:spacing w:val="-12"/>
          <w:sz w:val="21"/>
          <w:szCs w:val="21"/>
          <w:lang w:val="en-US" w:eastAsia="zh-CN"/>
        </w:rPr>
        <w:t xml:space="preserve"> 报道签到</w:t>
      </w:r>
      <w:r>
        <w:rPr>
          <w:rFonts w:hint="default" w:ascii="Arial" w:hAnsi="Arial" w:cs="Arial"/>
          <w:color w:val="auto"/>
          <w:spacing w:val="-12"/>
          <w:sz w:val="21"/>
          <w:szCs w:val="21"/>
          <w:lang w:val="en-US" w:eastAsia="zh-CN"/>
        </w:rPr>
        <w:t>→</w:t>
      </w:r>
      <w:r>
        <w:rPr>
          <w:rFonts w:hint="eastAsia" w:ascii="宋体" w:hAnsi="宋体" w:cs="宋体"/>
          <w:color w:val="auto"/>
          <w:spacing w:val="-12"/>
          <w:sz w:val="21"/>
          <w:szCs w:val="21"/>
          <w:lang w:val="en-US" w:eastAsia="zh-CN"/>
        </w:rPr>
        <w:t>由代表队领队为各自选手抽签决定场次</w:t>
      </w:r>
      <w:r>
        <w:rPr>
          <w:rFonts w:hint="default" w:ascii="Arial" w:hAnsi="Arial" w:cs="Arial"/>
          <w:color w:val="auto"/>
          <w:spacing w:val="-12"/>
          <w:sz w:val="21"/>
          <w:szCs w:val="21"/>
          <w:lang w:val="en-US" w:eastAsia="zh-CN"/>
        </w:rPr>
        <w:t>→</w:t>
      </w:r>
      <w:r>
        <w:rPr>
          <w:rFonts w:hint="eastAsia" w:ascii="宋体" w:hAnsi="宋体" w:cs="宋体"/>
          <w:color w:val="auto"/>
          <w:spacing w:val="-12"/>
          <w:sz w:val="21"/>
          <w:szCs w:val="21"/>
          <w:lang w:val="en-US" w:eastAsia="zh-CN"/>
        </w:rPr>
        <w:t>选手按照顺序有序参赛。</w:t>
      </w:r>
    </w:p>
    <w:p w14:paraId="42A872BC">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eastAsia="宋体" w:cs="宋体"/>
          <w:color w:val="auto"/>
          <w:spacing w:val="-12"/>
          <w:sz w:val="21"/>
          <w:szCs w:val="21"/>
          <w:lang w:val="en-US" w:eastAsia="zh-CN"/>
        </w:rPr>
      </w:pPr>
      <w:bookmarkStart w:id="22" w:name="_Toc135424227"/>
      <w:r>
        <w:rPr>
          <w:rFonts w:hint="eastAsia" w:ascii="宋体" w:hAnsi="宋体" w:cs="宋体"/>
          <w:color w:val="auto"/>
          <w:spacing w:val="-12"/>
          <w:sz w:val="21"/>
          <w:szCs w:val="21"/>
          <w:lang w:val="en-US" w:eastAsia="zh-CN"/>
        </w:rPr>
        <w:t>3</w:t>
      </w:r>
      <w:r>
        <w:rPr>
          <w:rFonts w:hint="eastAsia" w:ascii="宋体" w:hAnsi="宋体" w:eastAsia="宋体" w:cs="宋体"/>
          <w:color w:val="auto"/>
          <w:spacing w:val="-12"/>
          <w:sz w:val="21"/>
          <w:szCs w:val="21"/>
          <w:lang w:val="en-US" w:eastAsia="zh-CN"/>
        </w:rPr>
        <w:t>.</w:t>
      </w:r>
      <w:r>
        <w:rPr>
          <w:rFonts w:hint="eastAsia" w:ascii="宋体" w:hAnsi="宋体" w:eastAsia="宋体" w:cs="宋体"/>
          <w:color w:val="auto"/>
          <w:spacing w:val="-12"/>
          <w:sz w:val="21"/>
          <w:szCs w:val="21"/>
        </w:rPr>
        <w:t>场次安排：</w:t>
      </w:r>
      <w:bookmarkEnd w:id="22"/>
      <w:r>
        <w:rPr>
          <w:rFonts w:hint="eastAsia" w:ascii="宋体" w:hAnsi="宋体" w:cs="宋体"/>
          <w:color w:val="auto"/>
          <w:spacing w:val="-12"/>
          <w:sz w:val="21"/>
          <w:szCs w:val="21"/>
          <w:lang w:val="en-US" w:eastAsia="zh-CN"/>
        </w:rPr>
        <w:t xml:space="preserve"> 每天预计10-12场次，实际情况根据选手完成时间按照抽签顺序安排场次，每场两名选手，单号选手：故障判断</w:t>
      </w:r>
      <w:r>
        <w:rPr>
          <w:rFonts w:hint="default" w:ascii="Arial" w:hAnsi="Arial" w:cs="Arial"/>
          <w:color w:val="auto"/>
          <w:spacing w:val="-12"/>
          <w:sz w:val="21"/>
          <w:szCs w:val="21"/>
          <w:lang w:val="en-US" w:eastAsia="zh-CN"/>
        </w:rPr>
        <w:t>→</w:t>
      </w:r>
      <w:r>
        <w:rPr>
          <w:rFonts w:hint="eastAsia" w:ascii="Arial" w:hAnsi="Arial" w:cs="Arial"/>
          <w:color w:val="auto"/>
          <w:spacing w:val="-12"/>
          <w:sz w:val="21"/>
          <w:szCs w:val="21"/>
          <w:lang w:val="en-US" w:eastAsia="zh-CN"/>
        </w:rPr>
        <w:t>一</w:t>
      </w:r>
      <w:r>
        <w:rPr>
          <w:rFonts w:hint="eastAsia" w:ascii="宋体" w:hAnsi="宋体" w:cs="宋体"/>
          <w:color w:val="auto"/>
          <w:spacing w:val="-12"/>
          <w:sz w:val="21"/>
          <w:szCs w:val="21"/>
          <w:lang w:val="en-US" w:eastAsia="zh-CN"/>
        </w:rPr>
        <w:t>氧化碳测定</w:t>
      </w:r>
      <w:r>
        <w:rPr>
          <w:rFonts w:hint="default" w:ascii="Arial" w:hAnsi="Arial" w:cs="Arial"/>
          <w:color w:val="auto"/>
          <w:spacing w:val="-12"/>
          <w:sz w:val="21"/>
          <w:szCs w:val="21"/>
          <w:lang w:val="en-US" w:eastAsia="zh-CN"/>
        </w:rPr>
        <w:t>→</w:t>
      </w:r>
      <w:r>
        <w:rPr>
          <w:rFonts w:hint="eastAsia" w:ascii="宋体" w:hAnsi="宋体" w:cs="宋体"/>
          <w:color w:val="auto"/>
          <w:spacing w:val="-12"/>
          <w:sz w:val="21"/>
          <w:szCs w:val="21"/>
          <w:lang w:val="en-US" w:eastAsia="zh-CN"/>
        </w:rPr>
        <w:t>巷道实操；双号选手：巷道实操</w:t>
      </w:r>
      <w:r>
        <w:rPr>
          <w:rFonts w:hint="default" w:ascii="Arial" w:hAnsi="Arial" w:cs="Arial"/>
          <w:color w:val="auto"/>
          <w:spacing w:val="-12"/>
          <w:sz w:val="21"/>
          <w:szCs w:val="21"/>
          <w:lang w:val="en-US" w:eastAsia="zh-CN"/>
        </w:rPr>
        <w:t>→</w:t>
      </w:r>
      <w:r>
        <w:rPr>
          <w:rFonts w:hint="eastAsia" w:ascii="宋体" w:hAnsi="宋体" w:cs="宋体"/>
          <w:color w:val="auto"/>
          <w:spacing w:val="-12"/>
          <w:sz w:val="21"/>
          <w:szCs w:val="21"/>
          <w:lang w:val="en-US" w:eastAsia="zh-CN"/>
        </w:rPr>
        <w:t>故障判断</w:t>
      </w:r>
      <w:r>
        <w:rPr>
          <w:rFonts w:hint="default" w:ascii="Arial" w:hAnsi="Arial" w:cs="Arial"/>
          <w:color w:val="auto"/>
          <w:spacing w:val="-12"/>
          <w:sz w:val="21"/>
          <w:szCs w:val="21"/>
          <w:lang w:val="en-US" w:eastAsia="zh-CN"/>
        </w:rPr>
        <w:t>→</w:t>
      </w:r>
      <w:r>
        <w:rPr>
          <w:rFonts w:hint="eastAsia" w:ascii="宋体" w:hAnsi="宋体" w:cs="宋体"/>
          <w:color w:val="auto"/>
          <w:spacing w:val="-12"/>
          <w:sz w:val="21"/>
          <w:szCs w:val="21"/>
          <w:lang w:val="en-US" w:eastAsia="zh-CN"/>
        </w:rPr>
        <w:t>氧化碳测定。</w:t>
      </w:r>
    </w:p>
    <w:p w14:paraId="2A6C33C9">
      <w:pPr>
        <w:keepNext w:val="0"/>
        <w:keepLines w:val="0"/>
        <w:pageBreakBefore w:val="0"/>
        <w:widowControl w:val="0"/>
        <w:kinsoku/>
        <w:wordWrap/>
        <w:overflowPunct/>
        <w:topLinePunct w:val="0"/>
        <w:autoSpaceDE w:val="0"/>
        <w:autoSpaceDN w:val="0"/>
        <w:bidi w:val="0"/>
        <w:adjustRightInd/>
        <w:snapToGrid/>
        <w:spacing w:line="240" w:lineRule="auto"/>
        <w:ind w:firstLine="562" w:firstLineChars="200"/>
        <w:jc w:val="both"/>
        <w:textAlignment w:val="auto"/>
        <w:outlineLvl w:val="1"/>
        <w:rPr>
          <w:rFonts w:hint="eastAsia"/>
          <w:b/>
          <w:bCs/>
          <w:color w:val="auto"/>
          <w:spacing w:val="0"/>
          <w:sz w:val="28"/>
          <w:szCs w:val="28"/>
          <w:lang w:eastAsia="zh-CN"/>
        </w:rPr>
      </w:pPr>
      <w:r>
        <w:rPr>
          <w:rFonts w:hint="eastAsia"/>
          <w:b/>
          <w:bCs/>
          <w:color w:val="auto"/>
          <w:spacing w:val="0"/>
          <w:sz w:val="28"/>
          <w:szCs w:val="28"/>
          <w:lang w:eastAsia="zh-CN"/>
        </w:rPr>
        <w:fldChar w:fldCharType="begin"/>
      </w:r>
      <w:r>
        <w:rPr>
          <w:rFonts w:hint="eastAsia"/>
          <w:b/>
          <w:bCs/>
          <w:color w:val="auto"/>
          <w:spacing w:val="0"/>
          <w:sz w:val="28"/>
          <w:szCs w:val="28"/>
          <w:lang w:eastAsia="zh-CN"/>
        </w:rPr>
        <w:instrText xml:space="preserve"> HYPERLINK \l "_Toc12558" </w:instrText>
      </w:r>
      <w:r>
        <w:rPr>
          <w:rFonts w:hint="eastAsia"/>
          <w:b/>
          <w:bCs/>
          <w:color w:val="auto"/>
          <w:spacing w:val="0"/>
          <w:sz w:val="28"/>
          <w:szCs w:val="28"/>
          <w:lang w:eastAsia="zh-CN"/>
        </w:rPr>
        <w:fldChar w:fldCharType="separate"/>
      </w:r>
      <w:bookmarkStart w:id="23" w:name="_Toc135424228"/>
      <w:bookmarkStart w:id="24" w:name="_Toc135467058"/>
      <w:bookmarkStart w:id="25" w:name="_Toc135436583"/>
      <w:bookmarkStart w:id="26" w:name="_Toc135429296"/>
      <w:r>
        <w:rPr>
          <w:rFonts w:hint="eastAsia"/>
          <w:b/>
          <w:bCs/>
          <w:color w:val="auto"/>
          <w:spacing w:val="0"/>
          <w:sz w:val="28"/>
          <w:szCs w:val="28"/>
          <w:lang w:eastAsia="zh-CN"/>
        </w:rPr>
        <w:t>（二）裁判员分组和职责</w:t>
      </w:r>
      <w:bookmarkEnd w:id="23"/>
      <w:bookmarkEnd w:id="24"/>
      <w:bookmarkEnd w:id="25"/>
      <w:bookmarkEnd w:id="26"/>
      <w:r>
        <w:rPr>
          <w:rFonts w:hint="eastAsia"/>
          <w:b/>
          <w:bCs/>
          <w:color w:val="auto"/>
          <w:spacing w:val="0"/>
          <w:sz w:val="28"/>
          <w:szCs w:val="28"/>
          <w:lang w:eastAsia="zh-CN"/>
        </w:rPr>
        <w:fldChar w:fldCharType="end"/>
      </w:r>
      <w:bookmarkStart w:id="67" w:name="_GoBack"/>
      <w:bookmarkEnd w:id="67"/>
    </w:p>
    <w:p w14:paraId="13E0D2B8">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color w:val="auto"/>
          <w:spacing w:val="-12"/>
          <w:sz w:val="21"/>
          <w:szCs w:val="21"/>
        </w:rPr>
      </w:pPr>
      <w:r>
        <w:rPr>
          <w:rFonts w:hint="eastAsia" w:ascii="宋体" w:hAnsi="宋体" w:eastAsia="宋体" w:cs="宋体"/>
          <w:color w:val="auto"/>
          <w:spacing w:val="-12"/>
          <w:sz w:val="21"/>
          <w:szCs w:val="21"/>
        </w:rPr>
        <w:t>本次竞赛设立裁判组，由1名裁判长，</w:t>
      </w:r>
      <w:r>
        <w:rPr>
          <w:rFonts w:hint="eastAsia" w:ascii="宋体" w:hAnsi="宋体" w:cs="宋体"/>
          <w:color w:val="auto"/>
          <w:spacing w:val="-12"/>
          <w:sz w:val="21"/>
          <w:szCs w:val="21"/>
          <w:lang w:val="en-US" w:eastAsia="zh-CN"/>
        </w:rPr>
        <w:t>5名</w:t>
      </w:r>
      <w:r>
        <w:rPr>
          <w:rFonts w:hint="eastAsia" w:ascii="宋体" w:hAnsi="宋体" w:eastAsia="宋体" w:cs="宋体"/>
          <w:color w:val="auto"/>
          <w:spacing w:val="-12"/>
          <w:sz w:val="21"/>
          <w:szCs w:val="21"/>
        </w:rPr>
        <w:t>裁判员</w:t>
      </w:r>
      <w:r>
        <w:rPr>
          <w:rFonts w:hint="eastAsia" w:ascii="宋体" w:hAnsi="宋体" w:cs="宋体"/>
          <w:color w:val="auto"/>
          <w:spacing w:val="-12"/>
          <w:sz w:val="21"/>
          <w:szCs w:val="21"/>
          <w:lang w:eastAsia="zh-CN"/>
        </w:rPr>
        <w:t>，</w:t>
      </w:r>
      <w:r>
        <w:rPr>
          <w:rFonts w:hint="eastAsia" w:ascii="宋体" w:hAnsi="宋体" w:cs="宋体"/>
          <w:color w:val="auto"/>
          <w:spacing w:val="-12"/>
          <w:sz w:val="21"/>
          <w:szCs w:val="21"/>
          <w:lang w:val="en-US" w:eastAsia="zh-CN"/>
        </w:rPr>
        <w:t>4名设备调试人员共10人员</w:t>
      </w:r>
      <w:r>
        <w:rPr>
          <w:rFonts w:hint="eastAsia" w:ascii="宋体" w:hAnsi="宋体" w:eastAsia="宋体" w:cs="宋体"/>
          <w:color w:val="auto"/>
          <w:spacing w:val="-12"/>
          <w:sz w:val="21"/>
          <w:szCs w:val="21"/>
        </w:rPr>
        <w:t>组成</w:t>
      </w:r>
      <w:bookmarkStart w:id="27" w:name="_Toc26891"/>
    </w:p>
    <w:p w14:paraId="41A8FB2B">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color w:val="auto"/>
          <w:spacing w:val="-12"/>
          <w:sz w:val="21"/>
          <w:szCs w:val="21"/>
          <w:lang w:val="zh-CN"/>
        </w:rPr>
      </w:pPr>
      <w:bookmarkStart w:id="28" w:name="_Toc4860"/>
      <w:bookmarkStart w:id="29" w:name="_Toc135424229"/>
      <w:r>
        <w:rPr>
          <w:rFonts w:hint="eastAsia" w:ascii="宋体" w:hAnsi="宋体" w:eastAsia="宋体" w:cs="宋体"/>
          <w:color w:val="auto"/>
          <w:spacing w:val="-12"/>
          <w:sz w:val="21"/>
          <w:szCs w:val="21"/>
          <w:lang w:val="zh-CN"/>
        </w:rPr>
        <w:t>1．裁判长</w:t>
      </w:r>
      <w:bookmarkEnd w:id="27"/>
      <w:bookmarkEnd w:id="28"/>
      <w:bookmarkEnd w:id="29"/>
    </w:p>
    <w:p w14:paraId="786B9E13">
      <w:pPr>
        <w:keepNext w:val="0"/>
        <w:keepLines w:val="0"/>
        <w:pageBreakBefore w:val="0"/>
        <w:widowControl w:val="0"/>
        <w:kinsoku/>
        <w:wordWrap/>
        <w:overflowPunct/>
        <w:topLinePunct w:val="0"/>
        <w:autoSpaceDE w:val="0"/>
        <w:autoSpaceDN w:val="0"/>
        <w:bidi w:val="0"/>
        <w:adjustRightInd/>
        <w:snapToGrid/>
        <w:spacing w:line="240" w:lineRule="auto"/>
        <w:ind w:left="0" w:right="0" w:firstLine="420" w:firstLineChars="200"/>
        <w:jc w:val="both"/>
        <w:textAlignment w:val="baseline"/>
        <w:rPr>
          <w:rFonts w:hint="eastAsia" w:ascii="宋体" w:hAnsi="宋体" w:eastAsia="宋体" w:cs="宋体"/>
          <w:color w:val="auto"/>
          <w:spacing w:val="0"/>
          <w:sz w:val="21"/>
          <w:szCs w:val="21"/>
        </w:rPr>
      </w:pPr>
      <w:r>
        <w:rPr>
          <w:rFonts w:hint="eastAsia" w:ascii="宋体" w:hAnsi="宋体" w:eastAsia="宋体" w:cs="宋体"/>
          <w:color w:val="auto"/>
          <w:spacing w:val="0"/>
          <w:sz w:val="21"/>
          <w:szCs w:val="21"/>
        </w:rPr>
        <w:t>裁判长按照本项目技术文件，对裁判员进行培训和工作分工，带领裁判员对本项目比赛设备设施和现场布置情况进行检验；组织选手进行安全培训并熟悉赛场及设备，保障所有选手在比赛前掌握必备的安全知识和安全操作规范；比赛期间组织裁判员执裁，并按照相关要求和程序，处理项目内出现的问题；组织统计、汇总并及时录入大赛成绩等工作；赛后组织开展技术点评。裁判长应公平公正组织执裁工作，不参与评分。</w:t>
      </w:r>
      <w:bookmarkStart w:id="30" w:name="_Toc524170447"/>
      <w:bookmarkStart w:id="31" w:name="_Toc31497"/>
      <w:bookmarkStart w:id="32" w:name="_Toc32350"/>
    </w:p>
    <w:p w14:paraId="121DF865">
      <w:pPr>
        <w:keepNext w:val="0"/>
        <w:keepLines w:val="0"/>
        <w:pageBreakBefore w:val="0"/>
        <w:widowControl w:val="0"/>
        <w:kinsoku/>
        <w:wordWrap/>
        <w:overflowPunct/>
        <w:topLinePunct w:val="0"/>
        <w:autoSpaceDE w:val="0"/>
        <w:autoSpaceDN w:val="0"/>
        <w:bidi w:val="0"/>
        <w:adjustRightInd/>
        <w:snapToGrid/>
        <w:spacing w:line="240" w:lineRule="auto"/>
        <w:ind w:left="0" w:leftChars="0" w:right="0" w:firstLine="420" w:firstLineChars="200"/>
        <w:jc w:val="both"/>
        <w:textAlignment w:val="baseline"/>
        <w:rPr>
          <w:rFonts w:hint="eastAsia" w:ascii="宋体" w:hAnsi="宋体" w:eastAsia="宋体" w:cs="宋体"/>
          <w:color w:val="auto"/>
          <w:spacing w:val="0"/>
          <w:sz w:val="21"/>
          <w:szCs w:val="21"/>
          <w:lang w:val="zh-CN"/>
        </w:rPr>
      </w:pPr>
      <w:bookmarkStart w:id="33" w:name="_Toc135424230"/>
      <w:r>
        <w:rPr>
          <w:rFonts w:hint="eastAsia" w:ascii="宋体" w:hAnsi="宋体" w:eastAsia="宋体" w:cs="宋体"/>
          <w:color w:val="auto"/>
          <w:spacing w:val="0"/>
          <w:sz w:val="21"/>
          <w:szCs w:val="21"/>
          <w:lang w:val="zh-CN"/>
        </w:rPr>
        <w:t>2．裁判员</w:t>
      </w:r>
      <w:bookmarkEnd w:id="30"/>
      <w:bookmarkEnd w:id="31"/>
      <w:bookmarkEnd w:id="32"/>
      <w:bookmarkEnd w:id="33"/>
    </w:p>
    <w:p w14:paraId="113116C9">
      <w:pPr>
        <w:keepNext w:val="0"/>
        <w:keepLines w:val="0"/>
        <w:pageBreakBefore w:val="0"/>
        <w:widowControl w:val="0"/>
        <w:kinsoku/>
        <w:wordWrap/>
        <w:overflowPunct/>
        <w:topLinePunct w:val="0"/>
        <w:autoSpaceDE w:val="0"/>
        <w:autoSpaceDN w:val="0"/>
        <w:bidi w:val="0"/>
        <w:adjustRightInd/>
        <w:snapToGrid/>
        <w:spacing w:line="240" w:lineRule="auto"/>
        <w:ind w:left="0" w:leftChars="0" w:right="0" w:firstLine="420" w:firstLineChars="200"/>
        <w:jc w:val="both"/>
        <w:textAlignment w:val="baseline"/>
        <w:rPr>
          <w:rFonts w:hint="eastAsia" w:ascii="宋体" w:hAnsi="宋体" w:eastAsia="宋体" w:cs="宋体"/>
          <w:color w:val="auto"/>
          <w:spacing w:val="0"/>
          <w:sz w:val="21"/>
          <w:szCs w:val="21"/>
        </w:rPr>
      </w:pPr>
      <w:r>
        <w:rPr>
          <w:rFonts w:hint="eastAsia" w:ascii="宋体" w:hAnsi="宋体" w:eastAsia="宋体" w:cs="宋体"/>
          <w:color w:val="auto"/>
          <w:spacing w:val="0"/>
          <w:sz w:val="21"/>
          <w:szCs w:val="21"/>
        </w:rPr>
        <w:t xml:space="preserve">裁判员应服从本项目裁判长的工作安排，诚实、客观和公正执裁。 </w:t>
      </w:r>
    </w:p>
    <w:p w14:paraId="40AAB3F0">
      <w:pPr>
        <w:keepNext w:val="0"/>
        <w:keepLines w:val="0"/>
        <w:pageBreakBefore w:val="0"/>
        <w:widowControl w:val="0"/>
        <w:kinsoku/>
        <w:wordWrap/>
        <w:overflowPunct/>
        <w:topLinePunct w:val="0"/>
        <w:autoSpaceDE w:val="0"/>
        <w:autoSpaceDN w:val="0"/>
        <w:bidi w:val="0"/>
        <w:adjustRightInd/>
        <w:snapToGrid/>
        <w:spacing w:line="240" w:lineRule="auto"/>
        <w:ind w:left="0" w:leftChars="0" w:right="0" w:firstLine="420" w:firstLineChars="200"/>
        <w:jc w:val="both"/>
        <w:textAlignment w:val="baseline"/>
        <w:rPr>
          <w:rFonts w:hint="eastAsia" w:ascii="宋体" w:hAnsi="宋体" w:eastAsia="宋体" w:cs="宋体"/>
          <w:color w:val="auto"/>
          <w:spacing w:val="0"/>
          <w:sz w:val="21"/>
          <w:szCs w:val="21"/>
        </w:rPr>
      </w:pPr>
      <w:r>
        <w:rPr>
          <w:rFonts w:hint="eastAsia" w:ascii="宋体" w:hAnsi="宋体" w:eastAsia="宋体" w:cs="宋体"/>
          <w:color w:val="auto"/>
          <w:spacing w:val="0"/>
          <w:sz w:val="21"/>
          <w:szCs w:val="21"/>
        </w:rPr>
        <w:t>根据裁判员的相关工作经验以及赛前培训的情况，裁判员分成</w:t>
      </w:r>
      <w:r>
        <w:rPr>
          <w:rFonts w:hint="eastAsia" w:ascii="宋体" w:hAnsi="宋体" w:cs="宋体"/>
          <w:color w:val="auto"/>
          <w:spacing w:val="0"/>
          <w:sz w:val="21"/>
          <w:szCs w:val="21"/>
          <w:lang w:val="en-US" w:eastAsia="zh-CN"/>
        </w:rPr>
        <w:t>2</w:t>
      </w:r>
      <w:r>
        <w:rPr>
          <w:rFonts w:hint="eastAsia" w:ascii="宋体" w:hAnsi="宋体" w:eastAsia="宋体" w:cs="宋体"/>
          <w:color w:val="auto"/>
          <w:spacing w:val="0"/>
          <w:sz w:val="21"/>
          <w:szCs w:val="21"/>
        </w:rPr>
        <w:t>个小组：</w:t>
      </w:r>
    </w:p>
    <w:p w14:paraId="4E113582">
      <w:pPr>
        <w:keepNext w:val="0"/>
        <w:keepLines w:val="0"/>
        <w:pageBreakBefore w:val="0"/>
        <w:widowControl w:val="0"/>
        <w:kinsoku/>
        <w:wordWrap/>
        <w:overflowPunct/>
        <w:topLinePunct w:val="0"/>
        <w:autoSpaceDE w:val="0"/>
        <w:autoSpaceDN w:val="0"/>
        <w:bidi w:val="0"/>
        <w:adjustRightInd/>
        <w:snapToGrid/>
        <w:spacing w:line="240" w:lineRule="auto"/>
        <w:ind w:left="0" w:leftChars="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故障判断组</w:t>
      </w:r>
      <w:r>
        <w:rPr>
          <w:rFonts w:hint="eastAsia" w:ascii="宋体" w:hAnsi="宋体" w:eastAsia="宋体" w:cs="宋体"/>
          <w:color w:val="auto"/>
          <w:spacing w:val="0"/>
          <w:sz w:val="21"/>
          <w:szCs w:val="21"/>
        </w:rPr>
        <w:t>：</w:t>
      </w:r>
      <w:bookmarkStart w:id="34" w:name="_Toc135424231"/>
      <w:bookmarkStart w:id="35" w:name="_Toc16733"/>
      <w:r>
        <w:rPr>
          <w:rFonts w:hint="eastAsia" w:ascii="宋体" w:hAnsi="宋体" w:cs="宋体"/>
          <w:color w:val="auto"/>
          <w:spacing w:val="0"/>
          <w:sz w:val="21"/>
          <w:szCs w:val="21"/>
          <w:lang w:val="en-US" w:eastAsia="zh-CN"/>
        </w:rPr>
        <w:t xml:space="preserve">负责光学瓦斯检定器故障判断项目监考、阅卷、打分，负责一氧化碳模拟测定和应急处置监考打分。 </w:t>
      </w:r>
    </w:p>
    <w:p w14:paraId="01E46637">
      <w:pPr>
        <w:keepNext w:val="0"/>
        <w:keepLines w:val="0"/>
        <w:pageBreakBefore w:val="0"/>
        <w:widowControl w:val="0"/>
        <w:kinsoku/>
        <w:wordWrap/>
        <w:overflowPunct/>
        <w:topLinePunct w:val="0"/>
        <w:autoSpaceDE w:val="0"/>
        <w:autoSpaceDN w:val="0"/>
        <w:bidi w:val="0"/>
        <w:adjustRightInd/>
        <w:snapToGrid/>
        <w:spacing w:line="240" w:lineRule="auto"/>
        <w:ind w:left="0" w:leftChars="0" w:right="0" w:firstLine="420" w:firstLineChars="200"/>
        <w:jc w:val="both"/>
        <w:textAlignment w:val="baseline"/>
        <w:rPr>
          <w:rFonts w:hint="eastAsia" w:ascii="宋体" w:hAnsi="宋体" w:eastAsia="宋体" w:cs="宋体"/>
          <w:color w:val="auto"/>
          <w:spacing w:val="0"/>
          <w:sz w:val="21"/>
          <w:szCs w:val="21"/>
          <w:lang w:val="en-US" w:eastAsia="zh-CN"/>
        </w:rPr>
      </w:pPr>
      <w:r>
        <w:rPr>
          <w:rFonts w:hint="eastAsia" w:ascii="宋体" w:hAnsi="宋体" w:cs="宋体"/>
          <w:color w:val="auto"/>
          <w:spacing w:val="0"/>
          <w:sz w:val="21"/>
          <w:szCs w:val="21"/>
          <w:lang w:val="en-US" w:eastAsia="zh-CN"/>
        </w:rPr>
        <w:t>模拟巷道实操组</w:t>
      </w:r>
      <w:r>
        <w:rPr>
          <w:rFonts w:hint="eastAsia" w:ascii="宋体" w:hAnsi="宋体" w:eastAsia="宋体" w:cs="宋体"/>
          <w:color w:val="auto"/>
          <w:spacing w:val="0"/>
          <w:sz w:val="21"/>
          <w:szCs w:val="21"/>
        </w:rPr>
        <w:t>：</w:t>
      </w:r>
      <w:bookmarkEnd w:id="34"/>
      <w:bookmarkEnd w:id="35"/>
      <w:r>
        <w:rPr>
          <w:rFonts w:hint="eastAsia" w:ascii="宋体" w:hAnsi="宋体" w:cs="宋体"/>
          <w:color w:val="auto"/>
          <w:spacing w:val="0"/>
          <w:sz w:val="21"/>
          <w:szCs w:val="21"/>
          <w:lang w:val="en-US" w:eastAsia="zh-CN"/>
        </w:rPr>
        <w:t>负责</w:t>
      </w:r>
      <w:r>
        <w:rPr>
          <w:rFonts w:hint="eastAsia" w:asciiTheme="minorEastAsia" w:hAnsiTheme="minorEastAsia" w:eastAsiaTheme="minorEastAsia" w:cstheme="minorEastAsia"/>
          <w:color w:val="auto"/>
          <w:sz w:val="21"/>
          <w:szCs w:val="21"/>
          <w:lang w:val="en-US" w:eastAsia="zh-CN"/>
        </w:rPr>
        <w:t>模拟煤矿井下掘进巷道瓦斯检查叙述演示</w:t>
      </w:r>
      <w:r>
        <w:rPr>
          <w:rFonts w:hint="eastAsia" w:ascii="宋体" w:hAnsi="宋体" w:cs="宋体"/>
          <w:color w:val="auto"/>
          <w:spacing w:val="0"/>
          <w:sz w:val="21"/>
          <w:szCs w:val="21"/>
          <w:lang w:val="en-US" w:eastAsia="zh-CN"/>
        </w:rPr>
        <w:t xml:space="preserve">的评分工作。 </w:t>
      </w:r>
    </w:p>
    <w:p w14:paraId="2550663A">
      <w:pPr>
        <w:keepNext w:val="0"/>
        <w:keepLines w:val="0"/>
        <w:pageBreakBefore w:val="0"/>
        <w:widowControl w:val="0"/>
        <w:kinsoku/>
        <w:wordWrap/>
        <w:overflowPunct/>
        <w:topLinePunct w:val="0"/>
        <w:autoSpaceDE w:val="0"/>
        <w:autoSpaceDN w:val="0"/>
        <w:bidi w:val="0"/>
        <w:adjustRightInd/>
        <w:snapToGrid/>
        <w:spacing w:line="240" w:lineRule="auto"/>
        <w:ind w:left="0" w:leftChars="0" w:firstLine="0" w:firstLineChars="0"/>
        <w:jc w:val="both"/>
        <w:textAlignment w:val="auto"/>
        <w:outlineLvl w:val="1"/>
        <w:rPr>
          <w:rFonts w:hint="eastAsia"/>
          <w:b/>
          <w:bCs/>
          <w:color w:val="auto"/>
          <w:spacing w:val="0"/>
          <w:sz w:val="28"/>
          <w:szCs w:val="28"/>
          <w:lang w:eastAsia="zh-CN"/>
        </w:rPr>
      </w:pPr>
      <w:bookmarkStart w:id="36" w:name="_Toc135424234"/>
      <w:bookmarkStart w:id="37" w:name="_Toc135436584"/>
      <w:bookmarkStart w:id="38" w:name="_Toc135467059"/>
      <w:bookmarkStart w:id="39" w:name="_Toc135429297"/>
      <w:r>
        <w:rPr>
          <w:rFonts w:hint="eastAsia"/>
          <w:b/>
          <w:bCs/>
          <w:color w:val="auto"/>
          <w:spacing w:val="0"/>
          <w:sz w:val="28"/>
          <w:szCs w:val="28"/>
          <w:lang w:eastAsia="zh-CN"/>
        </w:rPr>
        <w:t>（</w:t>
      </w:r>
      <w:r>
        <w:rPr>
          <w:rFonts w:hint="eastAsia"/>
          <w:b/>
          <w:bCs/>
          <w:color w:val="auto"/>
          <w:spacing w:val="0"/>
          <w:sz w:val="28"/>
          <w:szCs w:val="28"/>
          <w:lang w:eastAsia="zh-CN"/>
        </w:rPr>
        <w:fldChar w:fldCharType="begin"/>
      </w:r>
      <w:r>
        <w:rPr>
          <w:rFonts w:hint="eastAsia"/>
          <w:b/>
          <w:bCs/>
          <w:color w:val="auto"/>
          <w:spacing w:val="0"/>
          <w:sz w:val="28"/>
          <w:szCs w:val="28"/>
          <w:lang w:eastAsia="zh-CN"/>
        </w:rPr>
        <w:instrText xml:space="preserve"> HYPERLINK \l "_Toc29349" </w:instrText>
      </w:r>
      <w:r>
        <w:rPr>
          <w:rFonts w:hint="eastAsia"/>
          <w:b/>
          <w:bCs/>
          <w:color w:val="auto"/>
          <w:spacing w:val="0"/>
          <w:sz w:val="28"/>
          <w:szCs w:val="28"/>
          <w:lang w:eastAsia="zh-CN"/>
        </w:rPr>
        <w:fldChar w:fldCharType="separate"/>
      </w:r>
      <w:r>
        <w:rPr>
          <w:rFonts w:hint="eastAsia"/>
          <w:b/>
          <w:bCs/>
          <w:color w:val="auto"/>
          <w:spacing w:val="0"/>
          <w:sz w:val="28"/>
          <w:szCs w:val="28"/>
          <w:lang w:eastAsia="zh-CN"/>
        </w:rPr>
        <w:t>三）竞赛实施细则</w:t>
      </w:r>
      <w:bookmarkEnd w:id="36"/>
      <w:bookmarkEnd w:id="37"/>
      <w:bookmarkEnd w:id="38"/>
      <w:bookmarkEnd w:id="39"/>
      <w:r>
        <w:rPr>
          <w:rFonts w:hint="eastAsia"/>
          <w:b/>
          <w:bCs/>
          <w:color w:val="auto"/>
          <w:spacing w:val="0"/>
          <w:sz w:val="28"/>
          <w:szCs w:val="28"/>
          <w:lang w:eastAsia="zh-CN"/>
        </w:rPr>
        <w:fldChar w:fldCharType="end"/>
      </w:r>
    </w:p>
    <w:p w14:paraId="5B42A331">
      <w:pPr>
        <w:keepNext w:val="0"/>
        <w:keepLines w:val="0"/>
        <w:pageBreakBefore w:val="0"/>
        <w:widowControl w:val="0"/>
        <w:kinsoku/>
        <w:wordWrap/>
        <w:overflowPunct/>
        <w:topLinePunct w:val="0"/>
        <w:autoSpaceDE w:val="0"/>
        <w:autoSpaceDN w:val="0"/>
        <w:bidi w:val="0"/>
        <w:adjustRightInd/>
        <w:snapToGrid/>
        <w:spacing w:line="240" w:lineRule="auto"/>
        <w:ind w:left="0" w:leftChars="0" w:right="0" w:firstLine="422" w:firstLineChars="200"/>
        <w:jc w:val="both"/>
        <w:textAlignment w:val="baseline"/>
        <w:rPr>
          <w:rFonts w:hint="eastAsia" w:ascii="宋体" w:hAnsi="宋体" w:cs="宋体"/>
          <w:color w:val="auto"/>
          <w:spacing w:val="0"/>
          <w:sz w:val="21"/>
          <w:szCs w:val="21"/>
          <w:lang w:val="en-US" w:eastAsia="zh-CN"/>
        </w:rPr>
      </w:pPr>
      <w:bookmarkStart w:id="40" w:name="_Toc13226"/>
      <w:bookmarkStart w:id="41" w:name="_Toc21088"/>
      <w:r>
        <w:rPr>
          <w:rFonts w:hint="eastAsia"/>
          <w:b/>
          <w:bCs/>
          <w:color w:val="auto"/>
          <w:spacing w:val="0"/>
          <w:sz w:val="21"/>
          <w:szCs w:val="21"/>
          <w:lang w:val="en-US" w:eastAsia="zh-CN"/>
        </w:rPr>
        <w:t>1.</w:t>
      </w:r>
      <w:r>
        <w:rPr>
          <w:rFonts w:hint="eastAsia" w:ascii="宋体" w:hAnsi="宋体" w:cs="宋体"/>
          <w:color w:val="auto"/>
          <w:spacing w:val="0"/>
          <w:sz w:val="21"/>
          <w:szCs w:val="21"/>
          <w:lang w:val="en-US" w:eastAsia="zh-CN"/>
        </w:rPr>
        <w:t>熟悉场地</w:t>
      </w:r>
    </w:p>
    <w:p w14:paraId="0988D6D2">
      <w:pPr>
        <w:keepNext w:val="0"/>
        <w:keepLines w:val="0"/>
        <w:pageBreakBefore w:val="0"/>
        <w:widowControl w:val="0"/>
        <w:numPr>
          <w:ilvl w:val="0"/>
          <w:numId w:val="5"/>
        </w:numPr>
        <w:kinsoku/>
        <w:wordWrap/>
        <w:overflowPunct/>
        <w:topLinePunct w:val="0"/>
        <w:autoSpaceDE w:val="0"/>
        <w:autoSpaceDN w:val="0"/>
        <w:bidi w:val="0"/>
        <w:adjustRightInd/>
        <w:snapToGrid/>
        <w:spacing w:line="240" w:lineRule="auto"/>
        <w:ind w:left="0" w:leftChars="0" w:right="0" w:firstLine="420" w:firstLineChars="200"/>
        <w:jc w:val="both"/>
        <w:textAlignment w:val="baseline"/>
        <w:rPr>
          <w:rFonts w:hint="eastAsia" w:ascii="宋体" w:hAnsi="宋体" w:cs="宋体"/>
          <w:color w:val="auto"/>
          <w:spacing w:val="0"/>
          <w:kern w:val="10"/>
          <w:sz w:val="21"/>
          <w:szCs w:val="21"/>
          <w:lang w:val="en-US" w:eastAsia="zh-CN"/>
        </w:rPr>
      </w:pPr>
      <w:r>
        <w:rPr>
          <w:rFonts w:hint="eastAsia" w:ascii="宋体" w:hAnsi="宋体" w:cs="宋体"/>
          <w:color w:val="auto"/>
          <w:spacing w:val="0"/>
          <w:kern w:val="10"/>
          <w:sz w:val="21"/>
          <w:szCs w:val="21"/>
          <w:lang w:val="en-US" w:eastAsia="zh-CN"/>
        </w:rPr>
        <w:t xml:space="preserve">组委会安排开幕式结束后各参赛选手统一有序地熟悉场地 ，熟悉场地时限定在观摩区域活动, 不允许进入比赛区域。 </w:t>
      </w:r>
    </w:p>
    <w:p w14:paraId="3072DA38">
      <w:pPr>
        <w:keepNext w:val="0"/>
        <w:keepLines w:val="0"/>
        <w:pageBreakBefore w:val="0"/>
        <w:widowControl w:val="0"/>
        <w:numPr>
          <w:ilvl w:val="0"/>
          <w:numId w:val="5"/>
        </w:numPr>
        <w:kinsoku/>
        <w:wordWrap/>
        <w:overflowPunct/>
        <w:topLinePunct w:val="0"/>
        <w:autoSpaceDE w:val="0"/>
        <w:autoSpaceDN w:val="0"/>
        <w:bidi w:val="0"/>
        <w:adjustRightInd/>
        <w:snapToGrid/>
        <w:spacing w:line="240" w:lineRule="auto"/>
        <w:ind w:left="0" w:leftChars="0" w:right="0" w:firstLine="420" w:firstLineChars="200"/>
        <w:jc w:val="both"/>
        <w:textAlignment w:val="baseline"/>
        <w:rPr>
          <w:rFonts w:hint="eastAsia" w:ascii="宋体" w:hAnsi="宋体" w:cs="宋体"/>
          <w:color w:val="auto"/>
          <w:spacing w:val="0"/>
          <w:kern w:val="10"/>
          <w:sz w:val="21"/>
          <w:szCs w:val="21"/>
          <w:lang w:val="en-US" w:eastAsia="zh-CN"/>
        </w:rPr>
      </w:pPr>
      <w:r>
        <w:rPr>
          <w:rFonts w:hint="eastAsia" w:ascii="宋体" w:hAnsi="宋体" w:cs="宋体"/>
          <w:color w:val="auto"/>
          <w:spacing w:val="0"/>
          <w:kern w:val="10"/>
          <w:sz w:val="21"/>
          <w:szCs w:val="21"/>
          <w:lang w:val="en-US" w:eastAsia="zh-CN"/>
        </w:rPr>
        <w:t xml:space="preserve">熟悉场地时不允许发表没有根据以及有损大赛整体形象的言论。 </w:t>
      </w:r>
    </w:p>
    <w:p w14:paraId="33DD2162">
      <w:pPr>
        <w:keepNext w:val="0"/>
        <w:keepLines w:val="0"/>
        <w:pageBreakBefore w:val="0"/>
        <w:widowControl w:val="0"/>
        <w:numPr>
          <w:ilvl w:val="0"/>
          <w:numId w:val="5"/>
        </w:numPr>
        <w:kinsoku/>
        <w:wordWrap/>
        <w:overflowPunct/>
        <w:topLinePunct w:val="0"/>
        <w:autoSpaceDE w:val="0"/>
        <w:autoSpaceDN w:val="0"/>
        <w:bidi w:val="0"/>
        <w:adjustRightInd/>
        <w:snapToGrid/>
        <w:spacing w:line="240" w:lineRule="auto"/>
        <w:ind w:left="0" w:leftChars="0" w:right="0" w:firstLine="420" w:firstLineChars="200"/>
        <w:jc w:val="both"/>
        <w:textAlignment w:val="baseline"/>
        <w:rPr>
          <w:rFonts w:hint="eastAsia" w:ascii="宋体" w:hAnsi="宋体" w:cs="宋体"/>
          <w:color w:val="auto"/>
          <w:spacing w:val="0"/>
          <w:kern w:val="10"/>
          <w:sz w:val="21"/>
          <w:szCs w:val="21"/>
          <w:lang w:val="en-US" w:eastAsia="zh-CN"/>
        </w:rPr>
      </w:pPr>
      <w:r>
        <w:rPr>
          <w:rFonts w:hint="eastAsia" w:ascii="宋体" w:hAnsi="宋体" w:cs="宋体"/>
          <w:color w:val="auto"/>
          <w:spacing w:val="0"/>
          <w:kern w:val="10"/>
          <w:sz w:val="21"/>
          <w:szCs w:val="21"/>
          <w:lang w:val="en-US" w:eastAsia="zh-CN"/>
        </w:rPr>
        <w:t xml:space="preserve">熟悉场地时要严格遵守大赛各种制度, 严禁拥挤,喧哗,以免发生意外事故。 </w:t>
      </w:r>
    </w:p>
    <w:p w14:paraId="747B10E1">
      <w:pPr>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422" w:firstLineChars="200"/>
        <w:jc w:val="both"/>
        <w:textAlignment w:val="baseline"/>
        <w:rPr>
          <w:rFonts w:hint="eastAsia" w:ascii="宋体" w:hAnsi="宋体" w:cs="宋体"/>
          <w:color w:val="auto"/>
          <w:spacing w:val="0"/>
          <w:kern w:val="10"/>
          <w:sz w:val="21"/>
          <w:szCs w:val="21"/>
          <w:lang w:val="en-US" w:eastAsia="zh-CN"/>
        </w:rPr>
      </w:pPr>
      <w:r>
        <w:rPr>
          <w:rFonts w:hint="eastAsia"/>
          <w:b/>
          <w:bCs/>
          <w:color w:val="auto"/>
          <w:spacing w:val="0"/>
          <w:kern w:val="10"/>
          <w:sz w:val="21"/>
          <w:szCs w:val="21"/>
          <w:lang w:val="en-US" w:eastAsia="zh-CN"/>
        </w:rPr>
        <w:t>2.</w:t>
      </w:r>
      <w:r>
        <w:rPr>
          <w:rFonts w:hint="eastAsia" w:ascii="宋体" w:hAnsi="宋体" w:cs="宋体"/>
          <w:color w:val="auto"/>
          <w:spacing w:val="0"/>
          <w:kern w:val="10"/>
          <w:sz w:val="21"/>
          <w:szCs w:val="21"/>
          <w:lang w:val="en-US" w:eastAsia="zh-CN"/>
        </w:rPr>
        <w:t>参赛要求</w:t>
      </w:r>
    </w:p>
    <w:p w14:paraId="256EF024">
      <w:pPr>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420" w:firstLineChars="200"/>
        <w:jc w:val="both"/>
        <w:textAlignment w:val="baseline"/>
        <w:rPr>
          <w:rFonts w:hint="eastAsia" w:ascii="宋体" w:hAnsi="宋体" w:cs="宋体"/>
          <w:color w:val="auto"/>
          <w:spacing w:val="0"/>
          <w:kern w:val="10"/>
          <w:sz w:val="21"/>
          <w:szCs w:val="21"/>
          <w:lang w:val="en-US" w:eastAsia="zh-CN"/>
        </w:rPr>
      </w:pPr>
      <w:r>
        <w:rPr>
          <w:rFonts w:hint="eastAsia" w:ascii="宋体" w:hAnsi="宋体" w:cs="宋体"/>
          <w:color w:val="auto"/>
          <w:spacing w:val="0"/>
          <w:kern w:val="10"/>
          <w:sz w:val="21"/>
          <w:szCs w:val="21"/>
          <w:lang w:val="en-US" w:eastAsia="zh-CN"/>
        </w:rPr>
        <w:t xml:space="preserve">(1) 竞赛所需要平台、设备、仪器和工具按照大赛组委会的要求统一由协办单位提供。 </w:t>
      </w:r>
    </w:p>
    <w:p w14:paraId="44F0BF62">
      <w:pPr>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420" w:firstLineChars="200"/>
        <w:jc w:val="both"/>
        <w:textAlignment w:val="baseline"/>
        <w:rPr>
          <w:rFonts w:hint="eastAsia" w:ascii="宋体" w:hAnsi="宋体" w:cs="宋体"/>
          <w:color w:val="auto"/>
          <w:spacing w:val="0"/>
          <w:kern w:val="10"/>
          <w:sz w:val="21"/>
          <w:szCs w:val="21"/>
          <w:lang w:val="en-US" w:eastAsia="zh-CN"/>
        </w:rPr>
      </w:pPr>
      <w:r>
        <w:rPr>
          <w:rFonts w:hint="eastAsia" w:ascii="宋体" w:hAnsi="宋体" w:cs="宋体"/>
          <w:color w:val="auto"/>
          <w:spacing w:val="0"/>
          <w:kern w:val="10"/>
          <w:sz w:val="21"/>
          <w:szCs w:val="21"/>
          <w:lang w:val="en-US" w:eastAsia="zh-CN"/>
        </w:rPr>
        <w:t xml:space="preserve">(2) 所有人员在赛场内不得有影响其他选手完成比赛任务的行为, 参赛选手不允许串岗串位。要使用文明用语,不得以言语及人身攻击裁判和赛场工作人员。 </w:t>
      </w:r>
    </w:p>
    <w:p w14:paraId="2AC31EA2">
      <w:pPr>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420" w:firstLineChars="200"/>
        <w:jc w:val="both"/>
        <w:textAlignment w:val="baseline"/>
        <w:rPr>
          <w:rFonts w:hint="eastAsia" w:ascii="宋体" w:hAnsi="宋体" w:cs="宋体"/>
          <w:color w:val="auto"/>
          <w:spacing w:val="0"/>
          <w:kern w:val="10"/>
          <w:sz w:val="21"/>
          <w:szCs w:val="21"/>
          <w:lang w:val="en-US" w:eastAsia="zh-CN"/>
        </w:rPr>
      </w:pPr>
      <w:r>
        <w:rPr>
          <w:rFonts w:hint="eastAsia" w:ascii="宋体" w:hAnsi="宋体" w:cs="宋体"/>
          <w:color w:val="auto"/>
          <w:spacing w:val="0"/>
          <w:kern w:val="10"/>
          <w:sz w:val="21"/>
          <w:szCs w:val="21"/>
          <w:lang w:val="en-US" w:eastAsia="zh-CN"/>
        </w:rPr>
        <w:t>(3) 参赛选手在比赛开始时间前 15 分钟到达指定地点报到, 接受工作人员对选手身份、资格和有关证件的核验,参赛号、赛位由抽签确定,不得擅自变更、调整。选手若休息饮水或去洗手间耗用的时间一律计算在竞赛时间内，计时工具以赛场配置的计时器为准。</w:t>
      </w:r>
    </w:p>
    <w:p w14:paraId="1B38F896">
      <w:pPr>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420" w:firstLineChars="200"/>
        <w:jc w:val="both"/>
        <w:textAlignment w:val="baseline"/>
        <w:rPr>
          <w:rFonts w:hint="eastAsia" w:ascii="宋体" w:hAnsi="宋体" w:cs="宋体"/>
          <w:color w:val="auto"/>
          <w:spacing w:val="0"/>
          <w:kern w:val="10"/>
          <w:sz w:val="21"/>
          <w:szCs w:val="21"/>
          <w:lang w:val="en-US" w:eastAsia="zh-CN"/>
        </w:rPr>
      </w:pPr>
      <w:r>
        <w:rPr>
          <w:rFonts w:hint="eastAsia" w:ascii="宋体" w:hAnsi="宋体" w:cs="宋体"/>
          <w:color w:val="auto"/>
          <w:spacing w:val="0"/>
          <w:kern w:val="10"/>
          <w:sz w:val="21"/>
          <w:szCs w:val="21"/>
          <w:lang w:val="en-US" w:eastAsia="zh-CN"/>
        </w:rPr>
        <w:t>(4)选手须在竞赛试题规定位置填写参赛号、赛位号。其他地方不得有任何暗示选手身份的记号或符号，选手不得将手机等通信工具带入赛场，选手之间不得以任何方式传递信息，如传递纸条，用手势表达信息等，否则取消成绩。</w:t>
      </w:r>
    </w:p>
    <w:p w14:paraId="2CA0AD3D">
      <w:pPr>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420" w:firstLineChars="200"/>
        <w:jc w:val="both"/>
        <w:textAlignment w:val="baseline"/>
        <w:rPr>
          <w:rFonts w:hint="eastAsia" w:ascii="宋体" w:hAnsi="宋体" w:cs="宋体"/>
          <w:color w:val="auto"/>
          <w:spacing w:val="0"/>
          <w:kern w:val="10"/>
          <w:sz w:val="21"/>
          <w:szCs w:val="21"/>
          <w:lang w:val="en-US" w:eastAsia="zh-CN"/>
        </w:rPr>
      </w:pPr>
      <w:r>
        <w:rPr>
          <w:rFonts w:hint="eastAsia" w:ascii="宋体" w:hAnsi="宋体" w:cs="宋体"/>
          <w:color w:val="auto"/>
          <w:spacing w:val="0"/>
          <w:kern w:val="10"/>
          <w:sz w:val="21"/>
          <w:szCs w:val="21"/>
          <w:lang w:val="en-US" w:eastAsia="zh-CN"/>
        </w:rPr>
        <w:t>(5)选手须严格遵守安全操作规程，并接受裁判员的监督和警示，以确保参赛人身及设备安全。选手因个人误操作造成人身安全事故和设备故障时，裁判长有权终止其比赛;如非选手个人因素出现设备故障而无法比赛，由裁判长视具体情况做出裁决(调换到备用赛位或调整至最后一场次参加比赛);若裁判长确定设备故障可由技术支持人员排除故障后继续比赛，同时将给参赛选手补足所耽误的比赛时间。</w:t>
      </w:r>
    </w:p>
    <w:p w14:paraId="5CD9C328">
      <w:pPr>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420" w:firstLineChars="200"/>
        <w:jc w:val="both"/>
        <w:textAlignment w:val="baseline"/>
        <w:rPr>
          <w:rFonts w:hint="eastAsia" w:ascii="宋体" w:hAnsi="宋体" w:cs="宋体"/>
          <w:color w:val="auto"/>
          <w:spacing w:val="0"/>
          <w:kern w:val="10"/>
          <w:sz w:val="21"/>
          <w:szCs w:val="21"/>
          <w:lang w:val="en-US" w:eastAsia="zh-CN"/>
        </w:rPr>
      </w:pPr>
      <w:r>
        <w:rPr>
          <w:rFonts w:hint="eastAsia" w:ascii="宋体" w:hAnsi="宋体" w:cs="宋体"/>
          <w:color w:val="auto"/>
          <w:spacing w:val="0"/>
          <w:kern w:val="10"/>
          <w:sz w:val="21"/>
          <w:szCs w:val="21"/>
          <w:lang w:val="en-US" w:eastAsia="zh-CN"/>
        </w:rPr>
        <w:t>(6)选手进入赛场后，不得擅自离开赛场，因病或其他原因离开赛场或终止比赛，应向裁判示意，须经赛场裁判长同意，并在赛场记录表上签字确认后，方可离开赛场并在赛场工作人员指引下到达指定地点。</w:t>
      </w:r>
    </w:p>
    <w:p w14:paraId="38758833">
      <w:pPr>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420" w:firstLineChars="200"/>
        <w:jc w:val="both"/>
        <w:textAlignment w:val="baseline"/>
        <w:rPr>
          <w:rFonts w:hint="eastAsia" w:ascii="宋体" w:hAnsi="宋体" w:cs="宋体"/>
          <w:color w:val="auto"/>
          <w:spacing w:val="0"/>
          <w:kern w:val="10"/>
          <w:sz w:val="21"/>
          <w:szCs w:val="21"/>
          <w:lang w:val="en-US" w:eastAsia="zh-CN"/>
        </w:rPr>
      </w:pPr>
      <w:r>
        <w:rPr>
          <w:rFonts w:hint="eastAsia" w:ascii="宋体" w:hAnsi="宋体" w:cs="宋体"/>
          <w:color w:val="auto"/>
          <w:spacing w:val="0"/>
          <w:kern w:val="10"/>
          <w:sz w:val="21"/>
          <w:szCs w:val="21"/>
          <w:lang w:val="en-US" w:eastAsia="zh-CN"/>
        </w:rPr>
        <w:t>(7)选手须按照程序提交比赛结果，配合裁判做好赛场情况记录并确认，裁判提出确认要求时，不得无故拒绝。</w:t>
      </w:r>
    </w:p>
    <w:p w14:paraId="70329288">
      <w:pPr>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420" w:firstLineChars="200"/>
        <w:jc w:val="both"/>
        <w:textAlignment w:val="baseline"/>
        <w:rPr>
          <w:rFonts w:hint="eastAsia" w:ascii="宋体" w:hAnsi="宋体" w:cs="宋体"/>
          <w:color w:val="auto"/>
          <w:spacing w:val="0"/>
          <w:kern w:val="10"/>
          <w:sz w:val="21"/>
          <w:szCs w:val="21"/>
          <w:lang w:val="en-US" w:eastAsia="zh-CN"/>
        </w:rPr>
      </w:pPr>
      <w:r>
        <w:rPr>
          <w:rFonts w:hint="eastAsia" w:ascii="宋体" w:hAnsi="宋体" w:cs="宋体"/>
          <w:color w:val="auto"/>
          <w:spacing w:val="0"/>
          <w:kern w:val="10"/>
          <w:sz w:val="21"/>
          <w:szCs w:val="21"/>
          <w:lang w:val="en-US" w:eastAsia="zh-CN"/>
        </w:rPr>
        <w:t>(8)裁判长发布比赛结束指令后所有未完成任务参赛人员立即停止操作，按要求清理赛位，不得以任何理由拖延竞赛时间。</w:t>
      </w:r>
    </w:p>
    <w:p w14:paraId="482F2776">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420" w:firstLineChars="200"/>
        <w:jc w:val="left"/>
        <w:rPr>
          <w:rFonts w:hint="eastAsia" w:ascii="宋体" w:hAnsi="宋体" w:cs="宋体"/>
          <w:color w:val="auto"/>
          <w:spacing w:val="-12"/>
          <w:kern w:val="10"/>
          <w:sz w:val="21"/>
          <w:szCs w:val="21"/>
          <w:lang w:val="en-US" w:eastAsia="zh-CN"/>
        </w:rPr>
      </w:pPr>
      <w:r>
        <w:rPr>
          <w:rFonts w:hint="eastAsia" w:ascii="宋体" w:hAnsi="宋体" w:cs="宋体"/>
          <w:color w:val="auto"/>
          <w:spacing w:val="0"/>
          <w:kern w:val="10"/>
          <w:sz w:val="21"/>
          <w:szCs w:val="21"/>
          <w:lang w:val="en-US" w:eastAsia="zh-CN"/>
        </w:rPr>
        <w:t>(9)服从组委会和赛场工作人员的管理，遵守赛场纪律，尊重裁判和赛场工作人员，尊重其他代表队参赛选手。</w:t>
      </w:r>
    </w:p>
    <w:p w14:paraId="6103CD8B">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420" w:firstLineChars="200"/>
        <w:jc w:val="left"/>
        <w:rPr>
          <w:rFonts w:hint="eastAsia" w:ascii="宋体" w:hAnsi="宋体" w:cs="宋体"/>
          <w:color w:val="auto"/>
          <w:spacing w:val="0"/>
          <w:kern w:val="10"/>
          <w:sz w:val="21"/>
          <w:szCs w:val="21"/>
          <w:lang w:val="en-US" w:eastAsia="zh-CN"/>
        </w:rPr>
      </w:pPr>
      <w:r>
        <w:rPr>
          <w:rFonts w:hint="eastAsia"/>
          <w:b w:val="0"/>
          <w:bCs w:val="0"/>
          <w:color w:val="auto"/>
          <w:spacing w:val="0"/>
          <w:kern w:val="10"/>
          <w:sz w:val="21"/>
          <w:szCs w:val="21"/>
          <w:lang w:val="en-US" w:eastAsia="zh-CN"/>
        </w:rPr>
        <w:t>3</w:t>
      </w:r>
      <w:r>
        <w:rPr>
          <w:rFonts w:hint="eastAsia"/>
          <w:b w:val="0"/>
          <w:bCs w:val="0"/>
          <w:color w:val="auto"/>
          <w:spacing w:val="0"/>
          <w:kern w:val="10"/>
          <w:sz w:val="32"/>
          <w:szCs w:val="32"/>
          <w:lang w:val="en-US" w:eastAsia="zh-CN"/>
        </w:rPr>
        <w:t>.</w:t>
      </w:r>
      <w:r>
        <w:rPr>
          <w:rFonts w:hint="eastAsia" w:ascii="宋体" w:hAnsi="宋体" w:cs="宋体"/>
          <w:color w:val="auto"/>
          <w:spacing w:val="0"/>
          <w:kern w:val="10"/>
          <w:sz w:val="21"/>
          <w:szCs w:val="21"/>
          <w:lang w:val="en-US" w:eastAsia="zh-CN"/>
        </w:rPr>
        <w:t>安全文明操作规程</w:t>
      </w:r>
    </w:p>
    <w:p w14:paraId="70AEC60D">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420" w:firstLineChars="200"/>
        <w:jc w:val="left"/>
        <w:textAlignment w:val="auto"/>
        <w:rPr>
          <w:rFonts w:hint="eastAsia" w:ascii="宋体" w:hAnsi="宋体" w:cs="宋体"/>
          <w:color w:val="auto"/>
          <w:spacing w:val="0"/>
          <w:kern w:val="10"/>
          <w:sz w:val="21"/>
          <w:szCs w:val="21"/>
          <w:lang w:val="en-US" w:eastAsia="zh-CN"/>
        </w:rPr>
      </w:pPr>
      <w:r>
        <w:rPr>
          <w:rFonts w:hint="eastAsia" w:ascii="宋体" w:hAnsi="宋体" w:cs="宋体"/>
          <w:color w:val="auto"/>
          <w:spacing w:val="0"/>
          <w:kern w:val="10"/>
          <w:sz w:val="21"/>
          <w:szCs w:val="21"/>
          <w:lang w:val="en-US" w:eastAsia="zh-CN"/>
        </w:rPr>
        <w:t>（1）选手在比赛过程中不得违反《煤矿安全规程》规定要求。</w:t>
      </w:r>
    </w:p>
    <w:p w14:paraId="0F3B68BD">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420" w:firstLineChars="200"/>
        <w:jc w:val="left"/>
        <w:textAlignment w:val="auto"/>
        <w:rPr>
          <w:rFonts w:hint="eastAsia" w:ascii="宋体" w:hAnsi="宋体" w:cs="宋体"/>
          <w:color w:val="auto"/>
          <w:spacing w:val="0"/>
          <w:kern w:val="10"/>
          <w:sz w:val="21"/>
          <w:szCs w:val="21"/>
          <w:lang w:val="en-US" w:eastAsia="zh-CN"/>
        </w:rPr>
      </w:pPr>
      <w:r>
        <w:rPr>
          <w:rFonts w:hint="eastAsia" w:ascii="宋体" w:hAnsi="宋体" w:cs="宋体"/>
          <w:color w:val="auto"/>
          <w:spacing w:val="0"/>
          <w:kern w:val="10"/>
          <w:sz w:val="21"/>
          <w:szCs w:val="21"/>
          <w:lang w:val="en-US" w:eastAsia="zh-CN"/>
        </w:rPr>
        <w:t>（2）注意安全操作，防止出现意外伤害；完成工作任务时要防止工具伤人等事故。</w:t>
      </w:r>
    </w:p>
    <w:p w14:paraId="23952759">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420" w:firstLineChars="200"/>
        <w:jc w:val="left"/>
        <w:textAlignment w:val="auto"/>
        <w:rPr>
          <w:rFonts w:hint="eastAsia" w:ascii="宋体" w:hAnsi="宋体" w:cs="宋体"/>
          <w:color w:val="auto"/>
          <w:spacing w:val="0"/>
          <w:kern w:val="10"/>
          <w:sz w:val="21"/>
          <w:szCs w:val="21"/>
          <w:lang w:val="en-US" w:eastAsia="zh-CN"/>
        </w:rPr>
      </w:pPr>
      <w:r>
        <w:rPr>
          <w:rFonts w:hint="eastAsia" w:ascii="宋体" w:hAnsi="宋体" w:cs="宋体"/>
          <w:color w:val="auto"/>
          <w:spacing w:val="0"/>
          <w:kern w:val="10"/>
          <w:sz w:val="21"/>
          <w:szCs w:val="21"/>
          <w:lang w:val="en-US" w:eastAsia="zh-CN"/>
        </w:rPr>
        <w:t xml:space="preserve">（3）组委会要求选手统一着装，服装上不得有姓名、队名以及其他任何识别标记。 </w:t>
      </w:r>
    </w:p>
    <w:p w14:paraId="6C42C56C">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420" w:firstLineChars="200"/>
        <w:jc w:val="left"/>
        <w:textAlignment w:val="auto"/>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（4）刀具、工具不能混放、堆放，废弃物按照环保要求处理，保持赛位清洁、整洁。</w:t>
      </w:r>
    </w:p>
    <w:p w14:paraId="06AA30FA">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420" w:firstLineChars="200"/>
        <w:jc w:val="left"/>
        <w:textAlignment w:val="auto"/>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（5）每个分项竞赛场地需相互独立分开，以免影响参赛选手现场发挥。</w:t>
      </w:r>
    </w:p>
    <w:p w14:paraId="19BFCFDD">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420" w:firstLineChars="200"/>
        <w:jc w:val="left"/>
        <w:textAlignment w:val="auto"/>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（6）除比赛用设备外，设有备用设备。</w:t>
      </w:r>
    </w:p>
    <w:p w14:paraId="0F33CAD0">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420" w:firstLineChars="200"/>
        <w:jc w:val="left"/>
        <w:textAlignment w:val="auto"/>
        <w:rPr>
          <w:rFonts w:hint="eastAsia" w:ascii="宋体" w:hAnsi="宋体" w:cs="宋体"/>
          <w:color w:val="auto"/>
          <w:spacing w:val="0"/>
          <w:sz w:val="21"/>
          <w:szCs w:val="21"/>
          <w:lang w:val="en-US" w:eastAsia="zh-CN"/>
        </w:rPr>
      </w:pPr>
      <w:r>
        <w:rPr>
          <w:rFonts w:hint="eastAsia"/>
          <w:b w:val="0"/>
          <w:bCs w:val="0"/>
          <w:color w:val="auto"/>
          <w:spacing w:val="0"/>
          <w:sz w:val="21"/>
          <w:szCs w:val="21"/>
          <w:lang w:val="en-US" w:eastAsia="zh-CN"/>
        </w:rPr>
        <w:t>4.</w:t>
      </w:r>
      <w:r>
        <w:rPr>
          <w:rFonts w:hint="eastAsia" w:ascii="宋体" w:hAnsi="宋体" w:cs="宋体"/>
          <w:color w:val="auto"/>
          <w:spacing w:val="0"/>
          <w:sz w:val="21"/>
          <w:szCs w:val="21"/>
          <w:lang w:val="en-US" w:eastAsia="zh-CN"/>
        </w:rPr>
        <w:t>技术参考规范</w:t>
      </w:r>
    </w:p>
    <w:p w14:paraId="780F8940">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420" w:firstLineChars="200"/>
        <w:jc w:val="left"/>
        <w:textAlignment w:val="auto"/>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（1）《煤矿安全规程》（2022版）。</w:t>
      </w:r>
    </w:p>
    <w:p w14:paraId="5433E305">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420" w:firstLineChars="200"/>
        <w:jc w:val="left"/>
        <w:textAlignment w:val="auto"/>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（2）《煤矿瓦斯检查工操作资格培训考核教材》。</w:t>
      </w:r>
    </w:p>
    <w:p w14:paraId="7B7DAC33">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420" w:firstLineChars="200"/>
        <w:jc w:val="left"/>
        <w:textAlignment w:val="auto"/>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（3）《矿井通风》。</w:t>
      </w:r>
    </w:p>
    <w:p w14:paraId="653EA6ED">
      <w:pPr>
        <w:pStyle w:val="5"/>
        <w:keepNext w:val="0"/>
        <w:keepLines w:val="0"/>
        <w:pageBreakBefore w:val="0"/>
        <w:widowControl w:val="0"/>
        <w:kinsoku/>
        <w:wordWrap/>
        <w:overflowPunct/>
        <w:topLinePunct w:val="0"/>
        <w:autoSpaceDE w:val="0"/>
        <w:autoSpaceDN w:val="0"/>
        <w:bidi w:val="0"/>
        <w:adjustRightInd/>
        <w:snapToGrid w:val="0"/>
        <w:spacing w:line="240" w:lineRule="auto"/>
        <w:ind w:firstLine="360" w:firstLineChars="200"/>
        <w:textAlignment w:val="auto"/>
        <w:rPr>
          <w:rFonts w:hint="eastAsia"/>
          <w:color w:val="auto"/>
          <w:spacing w:val="0"/>
          <w:lang w:val="en-US" w:eastAsia="zh-CN"/>
        </w:rPr>
      </w:pPr>
    </w:p>
    <w:p w14:paraId="5507CA3E">
      <w:pPr>
        <w:pStyle w:val="5"/>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textAlignment w:val="auto"/>
        <w:rPr>
          <w:rFonts w:hint="eastAsia" w:ascii="宋体" w:hAnsi="宋体" w:cs="宋体"/>
          <w:color w:val="auto"/>
          <w:spacing w:val="0"/>
          <w:sz w:val="21"/>
          <w:szCs w:val="21"/>
          <w:lang w:val="en-US" w:eastAsia="zh-CN"/>
        </w:rPr>
      </w:pPr>
      <w:r>
        <w:rPr>
          <w:rFonts w:hint="eastAsia" w:ascii="Times New Roman" w:hAnsi="Times New Roman" w:eastAsia="宋体" w:cs="Times New Roman"/>
          <w:b w:val="0"/>
          <w:bCs w:val="0"/>
          <w:color w:val="auto"/>
          <w:spacing w:val="0"/>
          <w:kern w:val="2"/>
          <w:sz w:val="21"/>
          <w:szCs w:val="21"/>
          <w:lang w:val="en-US" w:eastAsia="zh-CN" w:bidi="ar-SA"/>
        </w:rPr>
        <w:t>5.</w:t>
      </w:r>
      <w:r>
        <w:rPr>
          <w:rFonts w:hint="eastAsia" w:ascii="宋体" w:hAnsi="宋体" w:cs="宋体"/>
          <w:color w:val="auto"/>
          <w:spacing w:val="0"/>
          <w:sz w:val="21"/>
          <w:szCs w:val="21"/>
          <w:lang w:val="en-US" w:eastAsia="zh-CN"/>
        </w:rPr>
        <w:t>成绩评定</w:t>
      </w:r>
    </w:p>
    <w:p w14:paraId="5A4BC2F3">
      <w:pPr>
        <w:pStyle w:val="5"/>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textAlignment w:val="auto"/>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(一)评分标准制订原则</w:t>
      </w:r>
    </w:p>
    <w:p w14:paraId="2F7DE501">
      <w:pPr>
        <w:pStyle w:val="5"/>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textAlignment w:val="auto"/>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竞赛评分本着“公平、公正、公开、科学、规范”的原则，注重考核选手的职业综合能力、团队的协作与组织能力和技术应用能力。</w:t>
      </w:r>
    </w:p>
    <w:p w14:paraId="7254E2A7">
      <w:pPr>
        <w:pStyle w:val="5"/>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textAlignment w:val="auto"/>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(二)评分标准</w:t>
      </w:r>
    </w:p>
    <w:p w14:paraId="37019C38">
      <w:pPr>
        <w:pStyle w:val="5"/>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textAlignment w:val="auto"/>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瓦斯检查工赛项具体评分标准见附件1-5</w:t>
      </w:r>
    </w:p>
    <w:p w14:paraId="048DF7E6">
      <w:pPr>
        <w:pStyle w:val="5"/>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textAlignment w:val="auto"/>
        <w:rPr>
          <w:rFonts w:hint="eastAsia" w:ascii="宋体" w:hAnsi="宋体" w:eastAsia="宋体" w:cs="宋体"/>
          <w:color w:val="auto"/>
          <w:spacing w:val="0"/>
          <w:kern w:val="2"/>
          <w:sz w:val="21"/>
          <w:szCs w:val="21"/>
          <w:lang w:val="en-US" w:eastAsia="zh-CN" w:bidi="ar-SA"/>
        </w:rPr>
      </w:pPr>
      <w:r>
        <w:rPr>
          <w:rFonts w:hint="eastAsia" w:ascii="宋体" w:hAnsi="宋体" w:cs="宋体"/>
          <w:color w:val="auto"/>
          <w:spacing w:val="0"/>
          <w:sz w:val="21"/>
          <w:szCs w:val="21"/>
          <w:lang w:val="en-US" w:eastAsia="zh-CN"/>
        </w:rPr>
        <w:t>（三）</w:t>
      </w:r>
      <w:r>
        <w:rPr>
          <w:rFonts w:hint="eastAsia" w:ascii="宋体" w:hAnsi="宋体" w:eastAsia="宋体" w:cs="宋体"/>
          <w:color w:val="auto"/>
          <w:spacing w:val="0"/>
          <w:kern w:val="2"/>
          <w:sz w:val="21"/>
          <w:szCs w:val="21"/>
          <w:lang w:val="en-US" w:eastAsia="zh-CN" w:bidi="ar-SA"/>
        </w:rPr>
        <w:t>评分方法</w:t>
      </w:r>
    </w:p>
    <w:p w14:paraId="464251E7">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本赛项评分包括结果</w:t>
      </w:r>
      <w:r>
        <w:rPr>
          <w:rFonts w:hint="eastAsia" w:ascii="宋体" w:hAnsi="宋体" w:cs="宋体"/>
          <w:color w:val="auto"/>
          <w:spacing w:val="0"/>
          <w:kern w:val="2"/>
          <w:sz w:val="21"/>
          <w:szCs w:val="21"/>
          <w:lang w:val="en-US" w:eastAsia="zh-CN" w:bidi="ar-SA"/>
        </w:rPr>
        <w:t>性</w:t>
      </w:r>
      <w:r>
        <w:rPr>
          <w:rFonts w:hint="eastAsia" w:ascii="宋体" w:hAnsi="宋体" w:eastAsia="宋体" w:cs="宋体"/>
          <w:color w:val="auto"/>
          <w:spacing w:val="0"/>
          <w:kern w:val="2"/>
          <w:sz w:val="21"/>
          <w:szCs w:val="21"/>
          <w:lang w:val="en-US" w:eastAsia="zh-CN" w:bidi="ar-SA"/>
        </w:rPr>
        <w:t>评分和主观结果性评分</w:t>
      </w:r>
      <w:r>
        <w:rPr>
          <w:rFonts w:hint="eastAsia" w:ascii="宋体" w:hAnsi="宋体" w:cs="宋体"/>
          <w:color w:val="auto"/>
          <w:spacing w:val="0"/>
          <w:kern w:val="2"/>
          <w:sz w:val="21"/>
          <w:szCs w:val="21"/>
          <w:lang w:val="en-US" w:eastAsia="zh-CN" w:bidi="ar-SA"/>
        </w:rPr>
        <w:t>两</w:t>
      </w:r>
      <w:r>
        <w:rPr>
          <w:rFonts w:hint="eastAsia" w:ascii="宋体" w:hAnsi="宋体" w:eastAsia="宋体" w:cs="宋体"/>
          <w:color w:val="auto"/>
          <w:spacing w:val="0"/>
          <w:kern w:val="2"/>
          <w:sz w:val="21"/>
          <w:szCs w:val="21"/>
          <w:lang w:val="en-US" w:eastAsia="zh-CN" w:bidi="ar-SA"/>
        </w:rPr>
        <w:t>种。</w:t>
      </w:r>
    </w:p>
    <w:p w14:paraId="47BF1CE4">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w:t>
      </w:r>
      <w:r>
        <w:rPr>
          <w:rFonts w:hint="eastAsia" w:ascii="宋体" w:hAnsi="宋体" w:cs="宋体"/>
          <w:color w:val="auto"/>
          <w:spacing w:val="0"/>
          <w:kern w:val="2"/>
          <w:sz w:val="21"/>
          <w:szCs w:val="21"/>
          <w:lang w:val="en-US" w:eastAsia="zh-CN" w:bidi="ar-SA"/>
        </w:rPr>
        <w:t>1</w:t>
      </w:r>
      <w:r>
        <w:rPr>
          <w:rFonts w:hint="eastAsia" w:ascii="宋体" w:hAnsi="宋体" w:eastAsia="宋体" w:cs="宋体"/>
          <w:color w:val="auto"/>
          <w:spacing w:val="0"/>
          <w:kern w:val="2"/>
          <w:sz w:val="21"/>
          <w:szCs w:val="21"/>
          <w:lang w:val="en-US" w:eastAsia="zh-CN" w:bidi="ar-SA"/>
        </w:rPr>
        <w:t>）结果性评分</w:t>
      </w:r>
      <w:r>
        <w:rPr>
          <w:rFonts w:hint="eastAsia" w:ascii="宋体" w:hAnsi="宋体" w:cs="宋体"/>
          <w:color w:val="auto"/>
          <w:spacing w:val="0"/>
          <w:kern w:val="2"/>
          <w:sz w:val="21"/>
          <w:szCs w:val="21"/>
          <w:lang w:val="en-US" w:eastAsia="zh-CN" w:bidi="ar-SA"/>
        </w:rPr>
        <w:t>：</w:t>
      </w:r>
      <w:r>
        <w:rPr>
          <w:rFonts w:hint="eastAsia" w:ascii="宋体" w:hAnsi="宋体" w:eastAsia="宋体" w:cs="宋体"/>
          <w:color w:val="auto"/>
          <w:spacing w:val="0"/>
          <w:kern w:val="2"/>
          <w:sz w:val="21"/>
          <w:szCs w:val="21"/>
          <w:lang w:val="en-US" w:eastAsia="zh-CN" w:bidi="ar-SA"/>
        </w:rPr>
        <w:t>由评分裁判依照给定的参考评分标准，对光学瓦斯检定器故障判断竞赛项目内容进行结果性评分，评分结果由</w:t>
      </w:r>
      <w:r>
        <w:rPr>
          <w:rFonts w:hint="eastAsia" w:ascii="宋体" w:hAnsi="宋体" w:cs="宋体"/>
          <w:color w:val="auto"/>
          <w:spacing w:val="0"/>
          <w:kern w:val="2"/>
          <w:sz w:val="21"/>
          <w:szCs w:val="21"/>
          <w:lang w:val="en-US" w:eastAsia="zh-CN" w:bidi="ar-SA"/>
        </w:rPr>
        <w:t>2</w:t>
      </w:r>
      <w:r>
        <w:rPr>
          <w:rFonts w:hint="eastAsia" w:ascii="宋体" w:hAnsi="宋体" w:eastAsia="宋体" w:cs="宋体"/>
          <w:color w:val="auto"/>
          <w:spacing w:val="0"/>
          <w:kern w:val="2"/>
          <w:sz w:val="21"/>
          <w:szCs w:val="21"/>
          <w:lang w:val="en-US" w:eastAsia="zh-CN" w:bidi="ar-SA"/>
        </w:rPr>
        <w:t>名裁判员共同签字确认，作为本赛项的最后得分。</w:t>
      </w:r>
    </w:p>
    <w:p w14:paraId="489D0449">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w:t>
      </w:r>
      <w:r>
        <w:rPr>
          <w:rFonts w:hint="eastAsia" w:ascii="宋体" w:hAnsi="宋体" w:cs="宋体"/>
          <w:color w:val="auto"/>
          <w:spacing w:val="0"/>
          <w:kern w:val="2"/>
          <w:sz w:val="21"/>
          <w:szCs w:val="21"/>
          <w:lang w:val="en-US" w:eastAsia="zh-CN" w:bidi="ar-SA"/>
        </w:rPr>
        <w:t>2</w:t>
      </w:r>
      <w:r>
        <w:rPr>
          <w:rFonts w:hint="eastAsia" w:ascii="宋体" w:hAnsi="宋体" w:eastAsia="宋体" w:cs="宋体"/>
          <w:color w:val="auto"/>
          <w:spacing w:val="0"/>
          <w:kern w:val="2"/>
          <w:sz w:val="21"/>
          <w:szCs w:val="21"/>
          <w:lang w:val="en-US" w:eastAsia="zh-CN" w:bidi="ar-SA"/>
        </w:rPr>
        <w:t>）主观结果性评分</w:t>
      </w:r>
      <w:r>
        <w:rPr>
          <w:rFonts w:hint="eastAsia" w:ascii="宋体" w:hAnsi="宋体" w:cs="宋体"/>
          <w:color w:val="auto"/>
          <w:spacing w:val="0"/>
          <w:kern w:val="2"/>
          <w:sz w:val="21"/>
          <w:szCs w:val="21"/>
          <w:lang w:val="en-US" w:eastAsia="zh-CN" w:bidi="ar-SA"/>
        </w:rPr>
        <w:t>：</w:t>
      </w:r>
      <w:r>
        <w:rPr>
          <w:rFonts w:hint="eastAsia" w:ascii="宋体" w:hAnsi="宋体" w:eastAsia="宋体" w:cs="宋体"/>
          <w:color w:val="auto"/>
          <w:spacing w:val="0"/>
          <w:kern w:val="2"/>
          <w:sz w:val="21"/>
          <w:szCs w:val="21"/>
          <w:lang w:val="en-US" w:eastAsia="zh-CN" w:bidi="ar-SA"/>
        </w:rPr>
        <w:t>对于模拟矿井井下现场叙述演示；</w:t>
      </w:r>
      <w:r>
        <w:rPr>
          <w:rFonts w:hint="eastAsia" w:ascii="宋体" w:hAnsi="宋体" w:cs="宋体"/>
          <w:color w:val="auto"/>
          <w:spacing w:val="0"/>
          <w:kern w:val="2"/>
          <w:sz w:val="21"/>
          <w:szCs w:val="21"/>
          <w:lang w:val="en-US" w:eastAsia="zh-CN" w:bidi="ar-SA"/>
        </w:rPr>
        <w:t>模拟</w:t>
      </w:r>
      <w:r>
        <w:rPr>
          <w:rFonts w:hint="eastAsia" w:ascii="宋体" w:hAnsi="宋体" w:eastAsia="宋体" w:cs="宋体"/>
          <w:color w:val="auto"/>
          <w:spacing w:val="0"/>
          <w:kern w:val="2"/>
          <w:sz w:val="21"/>
          <w:szCs w:val="21"/>
          <w:lang w:val="en-US" w:eastAsia="zh-CN" w:bidi="ar-SA"/>
        </w:rPr>
        <w:t>一氧化碳浓度</w:t>
      </w:r>
      <w:r>
        <w:rPr>
          <w:rFonts w:hint="eastAsia" w:ascii="宋体" w:hAnsi="宋体" w:cs="宋体"/>
          <w:color w:val="auto"/>
          <w:spacing w:val="0"/>
          <w:kern w:val="2"/>
          <w:sz w:val="21"/>
          <w:szCs w:val="21"/>
          <w:lang w:val="en-US" w:eastAsia="zh-CN" w:bidi="ar-SA"/>
        </w:rPr>
        <w:t>测定、</w:t>
      </w:r>
      <w:r>
        <w:rPr>
          <w:rFonts w:hint="eastAsia" w:ascii="宋体" w:hAnsi="宋体" w:eastAsia="宋体" w:cs="宋体"/>
          <w:color w:val="auto"/>
          <w:spacing w:val="0"/>
          <w:kern w:val="2"/>
          <w:sz w:val="21"/>
          <w:szCs w:val="21"/>
          <w:lang w:val="en-US" w:eastAsia="zh-CN" w:bidi="ar-SA"/>
        </w:rPr>
        <w:t>应急处理现场叙述演示，由</w:t>
      </w:r>
      <w:r>
        <w:rPr>
          <w:rFonts w:hint="eastAsia" w:ascii="宋体" w:hAnsi="宋体" w:cs="宋体"/>
          <w:color w:val="auto"/>
          <w:spacing w:val="0"/>
          <w:kern w:val="2"/>
          <w:sz w:val="21"/>
          <w:szCs w:val="21"/>
          <w:lang w:val="en-US" w:eastAsia="zh-CN" w:bidi="ar-SA"/>
        </w:rPr>
        <w:t>2</w:t>
      </w:r>
      <w:r>
        <w:rPr>
          <w:rFonts w:hint="eastAsia" w:ascii="宋体" w:hAnsi="宋体" w:eastAsia="宋体" w:cs="宋体"/>
          <w:color w:val="auto"/>
          <w:spacing w:val="0"/>
          <w:kern w:val="2"/>
          <w:sz w:val="21"/>
          <w:szCs w:val="21"/>
          <w:lang w:val="en-US" w:eastAsia="zh-CN" w:bidi="ar-SA"/>
        </w:rPr>
        <w:t>名评分裁判和现场技术人员依照给定的参考评分标准，对操作的过程进行打分，取裁判的平均分作为参赛选手本项得分。</w:t>
      </w:r>
    </w:p>
    <w:p w14:paraId="689B1C81">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w:t>
      </w:r>
      <w:r>
        <w:rPr>
          <w:rFonts w:hint="eastAsia" w:ascii="宋体" w:hAnsi="宋体" w:cs="宋体"/>
          <w:color w:val="auto"/>
          <w:spacing w:val="0"/>
          <w:kern w:val="2"/>
          <w:sz w:val="21"/>
          <w:szCs w:val="21"/>
          <w:lang w:val="en-US" w:eastAsia="zh-CN" w:bidi="ar-SA"/>
        </w:rPr>
        <w:t>3</w:t>
      </w:r>
      <w:r>
        <w:rPr>
          <w:rFonts w:hint="eastAsia" w:ascii="宋体" w:hAnsi="宋体" w:eastAsia="宋体" w:cs="宋体"/>
          <w:color w:val="auto"/>
          <w:spacing w:val="0"/>
          <w:kern w:val="2"/>
          <w:sz w:val="21"/>
          <w:szCs w:val="21"/>
          <w:lang w:val="en-US" w:eastAsia="zh-CN" w:bidi="ar-SA"/>
        </w:rPr>
        <w:t>）成绩的计算。</w:t>
      </w:r>
    </w:p>
    <w:p w14:paraId="1F55CF4F">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D=</w:t>
      </w:r>
      <w:r>
        <w:rPr>
          <w:rFonts w:hint="eastAsia" w:ascii="宋体" w:hAnsi="宋体" w:cs="宋体"/>
          <w:color w:val="auto"/>
          <w:spacing w:val="0"/>
          <w:kern w:val="2"/>
          <w:sz w:val="21"/>
          <w:szCs w:val="21"/>
          <w:lang w:val="en-US" w:eastAsia="zh-CN" w:bidi="ar-SA"/>
        </w:rPr>
        <w:t xml:space="preserve"> </w:t>
      </w:r>
      <w:r>
        <w:rPr>
          <w:rFonts w:hint="eastAsia" w:ascii="宋体" w:hAnsi="宋体" w:eastAsia="宋体" w:cs="宋体"/>
          <w:color w:val="auto"/>
          <w:spacing w:val="0"/>
          <w:kern w:val="2"/>
          <w:sz w:val="21"/>
          <w:szCs w:val="21"/>
          <w:lang w:val="en-US" w:eastAsia="zh-CN" w:bidi="ar-SA"/>
        </w:rPr>
        <w:t>G1+</w:t>
      </w:r>
      <w:r>
        <w:rPr>
          <w:rFonts w:hint="eastAsia" w:ascii="宋体" w:hAnsi="宋体" w:cs="宋体"/>
          <w:color w:val="auto"/>
          <w:spacing w:val="0"/>
          <w:kern w:val="2"/>
          <w:sz w:val="21"/>
          <w:szCs w:val="21"/>
          <w:lang w:val="en-US" w:eastAsia="zh-CN" w:bidi="ar-SA"/>
        </w:rPr>
        <w:t xml:space="preserve"> </w:t>
      </w:r>
      <w:r>
        <w:rPr>
          <w:rFonts w:hint="eastAsia" w:ascii="宋体" w:hAnsi="宋体" w:eastAsia="宋体" w:cs="宋体"/>
          <w:color w:val="auto"/>
          <w:spacing w:val="0"/>
          <w:kern w:val="2"/>
          <w:sz w:val="21"/>
          <w:szCs w:val="21"/>
          <w:lang w:val="en-US" w:eastAsia="zh-CN" w:bidi="ar-SA"/>
        </w:rPr>
        <w:t>G2</w:t>
      </w:r>
      <w:r>
        <w:rPr>
          <w:rFonts w:hint="eastAsia" w:ascii="宋体" w:hAnsi="宋体" w:cs="宋体"/>
          <w:color w:val="auto"/>
          <w:spacing w:val="0"/>
          <w:kern w:val="2"/>
          <w:sz w:val="21"/>
          <w:szCs w:val="21"/>
          <w:lang w:val="en-US" w:eastAsia="zh-CN" w:bidi="ar-SA"/>
        </w:rPr>
        <w:t xml:space="preserve"> </w:t>
      </w:r>
      <w:r>
        <w:rPr>
          <w:rFonts w:hint="eastAsia" w:ascii="宋体" w:hAnsi="宋体" w:eastAsia="宋体" w:cs="宋体"/>
          <w:color w:val="auto"/>
          <w:spacing w:val="0"/>
          <w:kern w:val="2"/>
          <w:sz w:val="21"/>
          <w:szCs w:val="21"/>
          <w:lang w:val="en-US" w:eastAsia="zh-CN" w:bidi="ar-SA"/>
        </w:rPr>
        <w:t>+</w:t>
      </w:r>
      <w:r>
        <w:rPr>
          <w:rFonts w:hint="eastAsia" w:ascii="宋体" w:hAnsi="宋体" w:cs="宋体"/>
          <w:color w:val="auto"/>
          <w:spacing w:val="0"/>
          <w:kern w:val="2"/>
          <w:sz w:val="21"/>
          <w:szCs w:val="21"/>
          <w:lang w:val="en-US" w:eastAsia="zh-CN" w:bidi="ar-SA"/>
        </w:rPr>
        <w:t xml:space="preserve"> </w:t>
      </w:r>
      <w:r>
        <w:rPr>
          <w:rFonts w:hint="eastAsia" w:ascii="宋体" w:hAnsi="宋体" w:eastAsia="宋体" w:cs="宋体"/>
          <w:color w:val="auto"/>
          <w:spacing w:val="0"/>
          <w:kern w:val="2"/>
          <w:sz w:val="21"/>
          <w:szCs w:val="21"/>
          <w:lang w:val="en-US" w:eastAsia="zh-CN" w:bidi="ar-SA"/>
        </w:rPr>
        <w:t>G3</w:t>
      </w:r>
    </w:p>
    <w:p w14:paraId="659C730C">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式中D—参赛选手的总成绩；</w:t>
      </w:r>
    </w:p>
    <w:p w14:paraId="576A16DA">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G</w:t>
      </w:r>
      <w:r>
        <w:rPr>
          <w:rFonts w:hint="eastAsia" w:ascii="宋体" w:hAnsi="宋体" w:cs="宋体"/>
          <w:color w:val="auto"/>
          <w:spacing w:val="0"/>
          <w:kern w:val="2"/>
          <w:sz w:val="21"/>
          <w:szCs w:val="21"/>
          <w:lang w:val="en-US" w:eastAsia="zh-CN" w:bidi="ar-SA"/>
        </w:rPr>
        <w:t>1</w:t>
      </w:r>
      <w:r>
        <w:rPr>
          <w:rFonts w:hint="eastAsia" w:ascii="宋体" w:hAnsi="宋体" w:eastAsia="宋体" w:cs="宋体"/>
          <w:color w:val="auto"/>
          <w:spacing w:val="0"/>
          <w:kern w:val="2"/>
          <w:sz w:val="21"/>
          <w:szCs w:val="21"/>
          <w:lang w:val="en-US" w:eastAsia="zh-CN" w:bidi="ar-SA"/>
        </w:rPr>
        <w:t>—光学瓦斯检定器故障判断成绩；</w:t>
      </w:r>
    </w:p>
    <w:p w14:paraId="0B9F6582">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G</w:t>
      </w:r>
      <w:r>
        <w:rPr>
          <w:rFonts w:hint="eastAsia" w:ascii="宋体" w:hAnsi="宋体" w:cs="宋体"/>
          <w:color w:val="auto"/>
          <w:spacing w:val="0"/>
          <w:kern w:val="2"/>
          <w:sz w:val="21"/>
          <w:szCs w:val="21"/>
          <w:lang w:val="en-US" w:eastAsia="zh-CN" w:bidi="ar-SA"/>
        </w:rPr>
        <w:t>2</w:t>
      </w:r>
      <w:r>
        <w:rPr>
          <w:rFonts w:hint="eastAsia" w:ascii="宋体" w:hAnsi="宋体" w:eastAsia="宋体" w:cs="宋体"/>
          <w:color w:val="auto"/>
          <w:spacing w:val="0"/>
          <w:kern w:val="2"/>
          <w:sz w:val="21"/>
          <w:szCs w:val="21"/>
          <w:lang w:val="en-US" w:eastAsia="zh-CN" w:bidi="ar-SA"/>
        </w:rPr>
        <w:t>—模拟矿井井下现场叙述演示成绩；</w:t>
      </w:r>
    </w:p>
    <w:p w14:paraId="29EE8CB3">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G</w:t>
      </w:r>
      <w:r>
        <w:rPr>
          <w:rFonts w:hint="eastAsia" w:ascii="宋体" w:hAnsi="宋体" w:cs="宋体"/>
          <w:color w:val="auto"/>
          <w:spacing w:val="0"/>
          <w:kern w:val="2"/>
          <w:sz w:val="21"/>
          <w:szCs w:val="21"/>
          <w:lang w:val="en-US" w:eastAsia="zh-CN" w:bidi="ar-SA"/>
        </w:rPr>
        <w:t>3</w:t>
      </w:r>
      <w:r>
        <w:rPr>
          <w:rFonts w:hint="eastAsia" w:ascii="宋体" w:hAnsi="宋体" w:eastAsia="宋体" w:cs="宋体"/>
          <w:color w:val="auto"/>
          <w:spacing w:val="0"/>
          <w:kern w:val="2"/>
          <w:sz w:val="21"/>
          <w:szCs w:val="21"/>
          <w:lang w:val="en-US" w:eastAsia="zh-CN" w:bidi="ar-SA"/>
        </w:rPr>
        <w:t>—</w:t>
      </w:r>
      <w:r>
        <w:rPr>
          <w:rFonts w:hint="eastAsia" w:ascii="宋体" w:hAnsi="宋体" w:cs="宋体"/>
          <w:color w:val="auto"/>
          <w:spacing w:val="0"/>
          <w:kern w:val="2"/>
          <w:sz w:val="21"/>
          <w:szCs w:val="21"/>
          <w:lang w:val="en-US" w:eastAsia="zh-CN" w:bidi="ar-SA"/>
        </w:rPr>
        <w:t>模拟</w:t>
      </w:r>
      <w:r>
        <w:rPr>
          <w:rFonts w:hint="eastAsia" w:ascii="宋体" w:hAnsi="宋体" w:eastAsia="宋体" w:cs="宋体"/>
          <w:color w:val="auto"/>
          <w:spacing w:val="0"/>
          <w:kern w:val="2"/>
          <w:sz w:val="21"/>
          <w:szCs w:val="21"/>
          <w:lang w:val="en-US" w:eastAsia="zh-CN" w:bidi="ar-SA"/>
        </w:rPr>
        <w:t>一氧化碳浓度</w:t>
      </w:r>
      <w:r>
        <w:rPr>
          <w:rFonts w:hint="eastAsia" w:ascii="宋体" w:hAnsi="宋体" w:cs="宋体"/>
          <w:color w:val="auto"/>
          <w:spacing w:val="0"/>
          <w:kern w:val="2"/>
          <w:sz w:val="21"/>
          <w:szCs w:val="21"/>
          <w:lang w:val="en-US" w:eastAsia="zh-CN" w:bidi="ar-SA"/>
        </w:rPr>
        <w:t>测定、</w:t>
      </w:r>
      <w:r>
        <w:rPr>
          <w:rFonts w:hint="eastAsia" w:ascii="宋体" w:hAnsi="宋体" w:eastAsia="宋体" w:cs="宋体"/>
          <w:color w:val="auto"/>
          <w:spacing w:val="0"/>
          <w:kern w:val="2"/>
          <w:sz w:val="21"/>
          <w:szCs w:val="21"/>
          <w:lang w:val="en-US" w:eastAsia="zh-CN" w:bidi="ar-SA"/>
        </w:rPr>
        <w:t>应急处理现场叙述演示成绩。</w:t>
      </w:r>
    </w:p>
    <w:p w14:paraId="730A2B13">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w:t>
      </w:r>
      <w:r>
        <w:rPr>
          <w:rFonts w:hint="eastAsia" w:ascii="宋体" w:hAnsi="宋体" w:cs="宋体"/>
          <w:color w:val="auto"/>
          <w:spacing w:val="0"/>
          <w:kern w:val="2"/>
          <w:sz w:val="21"/>
          <w:szCs w:val="21"/>
          <w:lang w:val="en-US" w:eastAsia="zh-CN" w:bidi="ar-SA"/>
        </w:rPr>
        <w:t>4</w:t>
      </w:r>
      <w:r>
        <w:rPr>
          <w:rFonts w:hint="eastAsia" w:ascii="宋体" w:hAnsi="宋体" w:eastAsia="宋体" w:cs="宋体"/>
          <w:color w:val="auto"/>
          <w:spacing w:val="0"/>
          <w:kern w:val="2"/>
          <w:sz w:val="21"/>
          <w:szCs w:val="21"/>
          <w:lang w:val="en-US" w:eastAsia="zh-CN" w:bidi="ar-SA"/>
        </w:rPr>
        <w:t>）裁判组实行“裁判长负责制”，设裁判长1名，全面负责赛项的裁判与管理工作。</w:t>
      </w:r>
    </w:p>
    <w:p w14:paraId="17D9ADC8">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default"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w:t>
      </w:r>
      <w:r>
        <w:rPr>
          <w:rFonts w:hint="eastAsia" w:ascii="宋体" w:hAnsi="宋体" w:cs="宋体"/>
          <w:color w:val="auto"/>
          <w:spacing w:val="0"/>
          <w:kern w:val="2"/>
          <w:sz w:val="21"/>
          <w:szCs w:val="21"/>
          <w:lang w:val="en-US" w:eastAsia="zh-CN" w:bidi="ar-SA"/>
        </w:rPr>
        <w:t>5</w:t>
      </w:r>
      <w:r>
        <w:rPr>
          <w:rFonts w:hint="eastAsia" w:ascii="宋体" w:hAnsi="宋体" w:eastAsia="宋体" w:cs="宋体"/>
          <w:color w:val="auto"/>
          <w:spacing w:val="0"/>
          <w:kern w:val="2"/>
          <w:sz w:val="21"/>
          <w:szCs w:val="21"/>
          <w:lang w:val="en-US" w:eastAsia="zh-CN" w:bidi="ar-SA"/>
        </w:rPr>
        <w:t>）裁判员根据比赛工作需要分为检录裁判、现场裁判和评分裁判</w:t>
      </w:r>
      <w:r>
        <w:rPr>
          <w:rFonts w:hint="eastAsia" w:ascii="宋体" w:hAnsi="宋体" w:cs="宋体"/>
          <w:color w:val="auto"/>
          <w:spacing w:val="0"/>
          <w:kern w:val="2"/>
          <w:sz w:val="21"/>
          <w:szCs w:val="21"/>
          <w:lang w:val="en-US" w:eastAsia="zh-CN" w:bidi="ar-SA"/>
        </w:rPr>
        <w:t xml:space="preserve">。 </w:t>
      </w:r>
    </w:p>
    <w:p w14:paraId="111D2012">
      <w:pPr>
        <w:keepNext w:val="0"/>
        <w:keepLines w:val="0"/>
        <w:pageBreakBefore w:val="0"/>
        <w:widowControl w:val="0"/>
        <w:numPr>
          <w:ilvl w:val="0"/>
          <w:numId w:val="6"/>
        </w:numPr>
        <w:kinsoku/>
        <w:wordWrap/>
        <w:overflowPunct/>
        <w:topLinePunct w:val="0"/>
        <w:autoSpaceDE w:val="0"/>
        <w:autoSpaceDN w:val="0"/>
        <w:bidi w:val="0"/>
        <w:adjustRightInd/>
        <w:snapToGrid w:val="0"/>
        <w:spacing w:line="240" w:lineRule="auto"/>
        <w:ind w:left="0" w:leftChars="0"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检录裁判负责对参赛队伍（选手）进行点名登记、身份核对等工作。</w:t>
      </w:r>
    </w:p>
    <w:p w14:paraId="106B90E0">
      <w:pPr>
        <w:keepNext w:val="0"/>
        <w:keepLines w:val="0"/>
        <w:pageBreakBefore w:val="0"/>
        <w:widowControl w:val="0"/>
        <w:numPr>
          <w:ilvl w:val="0"/>
          <w:numId w:val="6"/>
        </w:numPr>
        <w:kinsoku/>
        <w:wordWrap/>
        <w:overflowPunct/>
        <w:topLinePunct w:val="0"/>
        <w:autoSpaceDE w:val="0"/>
        <w:autoSpaceDN w:val="0"/>
        <w:bidi w:val="0"/>
        <w:adjustRightInd/>
        <w:snapToGrid w:val="0"/>
        <w:spacing w:line="240" w:lineRule="auto"/>
        <w:ind w:left="0" w:leftChars="0"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现场裁判按规定做好赛场记录，维护赛场纪律。</w:t>
      </w:r>
    </w:p>
    <w:p w14:paraId="05E03E42">
      <w:pPr>
        <w:keepNext w:val="0"/>
        <w:keepLines w:val="0"/>
        <w:pageBreakBefore w:val="0"/>
        <w:widowControl w:val="0"/>
        <w:numPr>
          <w:ilvl w:val="0"/>
          <w:numId w:val="6"/>
        </w:numPr>
        <w:kinsoku/>
        <w:wordWrap/>
        <w:overflowPunct/>
        <w:topLinePunct w:val="0"/>
        <w:autoSpaceDE w:val="0"/>
        <w:autoSpaceDN w:val="0"/>
        <w:bidi w:val="0"/>
        <w:adjustRightInd/>
        <w:snapToGrid w:val="0"/>
        <w:spacing w:line="240" w:lineRule="auto"/>
        <w:ind w:left="0" w:leftChars="0"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评分裁判负责对参赛队伍（选手）的技能展示和操作规范按赛项评分标准进行评定。</w:t>
      </w:r>
    </w:p>
    <w:p w14:paraId="3B7AA32C">
      <w:pPr>
        <w:keepNext w:val="0"/>
        <w:keepLines w:val="0"/>
        <w:pageBreakBefore w:val="0"/>
        <w:widowControl w:val="0"/>
        <w:numPr>
          <w:ilvl w:val="0"/>
          <w:numId w:val="0"/>
        </w:numPr>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cs="宋体"/>
          <w:color w:val="auto"/>
          <w:spacing w:val="0"/>
          <w:kern w:val="2"/>
          <w:sz w:val="21"/>
          <w:szCs w:val="21"/>
          <w:lang w:val="en-US" w:eastAsia="zh-CN" w:bidi="ar-SA"/>
        </w:rPr>
        <w:t>（6）</w:t>
      </w:r>
      <w:r>
        <w:rPr>
          <w:rFonts w:hint="eastAsia" w:ascii="宋体" w:hAnsi="宋体" w:eastAsia="宋体" w:cs="宋体"/>
          <w:color w:val="auto"/>
          <w:spacing w:val="0"/>
          <w:kern w:val="2"/>
          <w:sz w:val="21"/>
          <w:szCs w:val="21"/>
          <w:lang w:val="en-US" w:eastAsia="zh-CN" w:bidi="ar-SA"/>
        </w:rPr>
        <w:t>参赛选手根据赛项任务书的要求进行操作，根据注意操作要求，需要</w:t>
      </w:r>
      <w:r>
        <w:rPr>
          <w:rFonts w:hint="eastAsia" w:ascii="宋体" w:hAnsi="宋体" w:cs="宋体"/>
          <w:color w:val="auto"/>
          <w:spacing w:val="0"/>
          <w:kern w:val="2"/>
          <w:sz w:val="21"/>
          <w:szCs w:val="21"/>
          <w:lang w:val="en-US" w:eastAsia="zh-CN" w:bidi="ar-SA"/>
        </w:rPr>
        <w:t>登记</w:t>
      </w:r>
      <w:r>
        <w:rPr>
          <w:rFonts w:hint="eastAsia" w:ascii="宋体" w:hAnsi="宋体" w:eastAsia="宋体" w:cs="宋体"/>
          <w:color w:val="auto"/>
          <w:spacing w:val="0"/>
          <w:kern w:val="2"/>
          <w:sz w:val="21"/>
          <w:szCs w:val="21"/>
          <w:lang w:val="en-US" w:eastAsia="zh-CN" w:bidi="ar-SA"/>
        </w:rPr>
        <w:t>的内容要</w:t>
      </w:r>
      <w:r>
        <w:rPr>
          <w:rFonts w:hint="eastAsia" w:ascii="宋体" w:hAnsi="宋体" w:cs="宋体"/>
          <w:color w:val="auto"/>
          <w:spacing w:val="0"/>
          <w:kern w:val="2"/>
          <w:sz w:val="21"/>
          <w:szCs w:val="21"/>
          <w:lang w:val="en-US" w:eastAsia="zh-CN" w:bidi="ar-SA"/>
        </w:rPr>
        <w:t>登记</w:t>
      </w:r>
      <w:r>
        <w:rPr>
          <w:rFonts w:hint="eastAsia" w:ascii="宋体" w:hAnsi="宋体" w:eastAsia="宋体" w:cs="宋体"/>
          <w:color w:val="auto"/>
          <w:spacing w:val="0"/>
          <w:kern w:val="2"/>
          <w:sz w:val="21"/>
          <w:szCs w:val="21"/>
          <w:lang w:val="en-US" w:eastAsia="zh-CN" w:bidi="ar-SA"/>
        </w:rPr>
        <w:t>在比赛试题中，需要裁判确认的内容必须经过裁判员的签字确认，否则不得分。</w:t>
      </w:r>
    </w:p>
    <w:p w14:paraId="5B4A383E">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w:t>
      </w:r>
      <w:r>
        <w:rPr>
          <w:rFonts w:hint="eastAsia" w:ascii="宋体" w:hAnsi="宋体" w:cs="宋体"/>
          <w:color w:val="auto"/>
          <w:spacing w:val="0"/>
          <w:kern w:val="2"/>
          <w:sz w:val="21"/>
          <w:szCs w:val="21"/>
          <w:lang w:val="en-US" w:eastAsia="zh-CN" w:bidi="ar-SA"/>
        </w:rPr>
        <w:t>7</w:t>
      </w:r>
      <w:r>
        <w:rPr>
          <w:rFonts w:hint="eastAsia" w:ascii="宋体" w:hAnsi="宋体" w:eastAsia="宋体" w:cs="宋体"/>
          <w:color w:val="auto"/>
          <w:spacing w:val="0"/>
          <w:kern w:val="2"/>
          <w:sz w:val="21"/>
          <w:szCs w:val="21"/>
          <w:lang w:val="en-US" w:eastAsia="zh-CN" w:bidi="ar-SA"/>
        </w:rPr>
        <w:t>）违规扣分情况。选手有下列情形，需从参赛成绩中扣分：</w:t>
      </w:r>
    </w:p>
    <w:p w14:paraId="0227D945">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fldChar w:fldCharType="begin"/>
      </w:r>
      <w:r>
        <w:rPr>
          <w:rFonts w:hint="eastAsia" w:ascii="宋体" w:hAnsi="宋体" w:eastAsia="宋体" w:cs="宋体"/>
          <w:color w:val="auto"/>
          <w:spacing w:val="0"/>
          <w:kern w:val="2"/>
          <w:sz w:val="21"/>
          <w:szCs w:val="21"/>
          <w:lang w:val="en-US" w:eastAsia="zh-CN" w:bidi="ar-SA"/>
        </w:rPr>
        <w:instrText xml:space="preserve"> = 1 \* GB3 </w:instrText>
      </w:r>
      <w:r>
        <w:rPr>
          <w:rFonts w:hint="eastAsia" w:ascii="宋体" w:hAnsi="宋体" w:eastAsia="宋体" w:cs="宋体"/>
          <w:color w:val="auto"/>
          <w:spacing w:val="0"/>
          <w:kern w:val="2"/>
          <w:sz w:val="21"/>
          <w:szCs w:val="21"/>
          <w:lang w:val="en-US" w:eastAsia="zh-CN" w:bidi="ar-SA"/>
        </w:rPr>
        <w:fldChar w:fldCharType="separate"/>
      </w:r>
      <w:r>
        <w:rPr>
          <w:rFonts w:hint="eastAsia" w:ascii="宋体" w:hAnsi="宋体" w:eastAsia="宋体" w:cs="宋体"/>
          <w:color w:val="auto"/>
          <w:spacing w:val="0"/>
          <w:kern w:val="2"/>
          <w:sz w:val="21"/>
          <w:szCs w:val="21"/>
          <w:lang w:val="en-US" w:eastAsia="zh-CN" w:bidi="ar-SA"/>
        </w:rPr>
        <w:t>①</w:t>
      </w:r>
      <w:r>
        <w:rPr>
          <w:rFonts w:hint="eastAsia" w:ascii="宋体" w:hAnsi="宋体" w:eastAsia="宋体" w:cs="宋体"/>
          <w:color w:val="auto"/>
          <w:spacing w:val="0"/>
          <w:kern w:val="2"/>
          <w:sz w:val="21"/>
          <w:szCs w:val="21"/>
          <w:lang w:val="en-US" w:eastAsia="zh-CN" w:bidi="ar-SA"/>
        </w:rPr>
        <w:fldChar w:fldCharType="end"/>
      </w:r>
      <w:r>
        <w:rPr>
          <w:rFonts w:hint="eastAsia" w:ascii="宋体" w:hAnsi="宋体" w:eastAsia="宋体" w:cs="宋体"/>
          <w:color w:val="auto"/>
          <w:spacing w:val="0"/>
          <w:kern w:val="2"/>
          <w:sz w:val="21"/>
          <w:szCs w:val="21"/>
          <w:lang w:val="en-US" w:eastAsia="zh-CN" w:bidi="ar-SA"/>
        </w:rPr>
        <w:t>在完成竞赛任务的过程中，因操作不当导致事故，扣10～20分，情况严重者取消比赛资格。</w:t>
      </w:r>
    </w:p>
    <w:p w14:paraId="107838D3">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②因违规操作损坏赛场提供的设备，污染赛场环境等不符合职业规范的行为，视情节扣5～10分。</w:t>
      </w:r>
    </w:p>
    <w:p w14:paraId="1BAC8960">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③扰乱赛场秩序，干扰裁判员工作，视情节扣5～10分，情况严重者终止比赛。</w:t>
      </w:r>
    </w:p>
    <w:p w14:paraId="5401ED13">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w:t>
      </w:r>
      <w:r>
        <w:rPr>
          <w:rFonts w:hint="eastAsia" w:ascii="宋体" w:hAnsi="宋体" w:cs="宋体"/>
          <w:color w:val="auto"/>
          <w:spacing w:val="0"/>
          <w:kern w:val="2"/>
          <w:sz w:val="21"/>
          <w:szCs w:val="21"/>
          <w:lang w:val="en-US" w:eastAsia="zh-CN" w:bidi="ar-SA"/>
        </w:rPr>
        <w:t>8</w:t>
      </w:r>
      <w:r>
        <w:rPr>
          <w:rFonts w:hint="eastAsia" w:ascii="宋体" w:hAnsi="宋体" w:eastAsia="宋体" w:cs="宋体"/>
          <w:color w:val="auto"/>
          <w:spacing w:val="0"/>
          <w:kern w:val="2"/>
          <w:sz w:val="21"/>
          <w:szCs w:val="21"/>
          <w:lang w:val="en-US" w:eastAsia="zh-CN" w:bidi="ar-SA"/>
        </w:rPr>
        <w:t>）赛项裁判组本着“公平、公正、公开、科学、规范、透明、无异议”的原则，根据裁判的现场记录、参赛选手赛项任务书及评分标准，通过多方面进行综合评价，最终按总评分得分高低，确定参赛</w:t>
      </w:r>
      <w:r>
        <w:rPr>
          <w:rFonts w:hint="eastAsia" w:ascii="宋体" w:hAnsi="宋体" w:cs="宋体"/>
          <w:color w:val="auto"/>
          <w:spacing w:val="0"/>
          <w:kern w:val="2"/>
          <w:sz w:val="21"/>
          <w:szCs w:val="21"/>
          <w:lang w:val="en-US" w:eastAsia="zh-CN" w:bidi="ar-SA"/>
        </w:rPr>
        <w:t>队</w:t>
      </w:r>
      <w:r>
        <w:rPr>
          <w:rFonts w:hint="eastAsia" w:ascii="宋体" w:hAnsi="宋体" w:eastAsia="宋体" w:cs="宋体"/>
          <w:color w:val="auto"/>
          <w:spacing w:val="0"/>
          <w:kern w:val="2"/>
          <w:sz w:val="21"/>
          <w:szCs w:val="21"/>
          <w:lang w:val="en-US" w:eastAsia="zh-CN" w:bidi="ar-SA"/>
        </w:rPr>
        <w:t>奖项归属。</w:t>
      </w:r>
    </w:p>
    <w:p w14:paraId="63C78F2B">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w:t>
      </w:r>
      <w:r>
        <w:rPr>
          <w:rFonts w:hint="eastAsia" w:ascii="宋体" w:hAnsi="宋体" w:cs="宋体"/>
          <w:color w:val="auto"/>
          <w:spacing w:val="0"/>
          <w:kern w:val="2"/>
          <w:sz w:val="21"/>
          <w:szCs w:val="21"/>
          <w:lang w:val="en-US" w:eastAsia="zh-CN" w:bidi="ar-SA"/>
        </w:rPr>
        <w:t>9</w:t>
      </w:r>
      <w:r>
        <w:rPr>
          <w:rFonts w:hint="eastAsia" w:ascii="宋体" w:hAnsi="宋体" w:eastAsia="宋体" w:cs="宋体"/>
          <w:color w:val="auto"/>
          <w:spacing w:val="0"/>
          <w:kern w:val="2"/>
          <w:sz w:val="21"/>
          <w:szCs w:val="21"/>
          <w:lang w:val="en-US" w:eastAsia="zh-CN" w:bidi="ar-SA"/>
        </w:rPr>
        <w:t>）按比赛成绩从高分到低分排列参赛选手的名次。竞赛成绩相同时，成绩相同时完成实操所用时间少的名次在前，成绩及用时相同者实操成绩较高者名次在前。</w:t>
      </w:r>
    </w:p>
    <w:p w14:paraId="2AE47E36">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（1</w:t>
      </w:r>
      <w:r>
        <w:rPr>
          <w:rFonts w:hint="eastAsia" w:ascii="宋体" w:hAnsi="宋体" w:cs="宋体"/>
          <w:color w:val="auto"/>
          <w:spacing w:val="0"/>
          <w:kern w:val="2"/>
          <w:sz w:val="21"/>
          <w:szCs w:val="21"/>
          <w:lang w:val="en-US" w:eastAsia="zh-CN" w:bidi="ar-SA"/>
        </w:rPr>
        <w:t>0</w:t>
      </w:r>
      <w:r>
        <w:rPr>
          <w:rFonts w:hint="eastAsia" w:ascii="宋体" w:hAnsi="宋体" w:eastAsia="宋体" w:cs="宋体"/>
          <w:color w:val="auto"/>
          <w:spacing w:val="0"/>
          <w:kern w:val="2"/>
          <w:sz w:val="21"/>
          <w:szCs w:val="21"/>
          <w:lang w:val="en-US" w:eastAsia="zh-CN" w:bidi="ar-SA"/>
        </w:rPr>
        <w:t>）评分方式结合</w:t>
      </w:r>
      <w:r>
        <w:rPr>
          <w:rFonts w:hint="eastAsia" w:ascii="宋体" w:hAnsi="宋体" w:cs="宋体"/>
          <w:color w:val="auto"/>
          <w:spacing w:val="0"/>
          <w:kern w:val="2"/>
          <w:sz w:val="21"/>
          <w:szCs w:val="21"/>
          <w:lang w:val="en-US" w:eastAsia="zh-CN" w:bidi="ar-SA"/>
        </w:rPr>
        <w:t>全国</w:t>
      </w:r>
      <w:r>
        <w:rPr>
          <w:rFonts w:hint="eastAsia" w:ascii="宋体" w:hAnsi="宋体" w:eastAsia="宋体" w:cs="宋体"/>
          <w:color w:val="auto"/>
          <w:spacing w:val="0"/>
          <w:kern w:val="2"/>
          <w:sz w:val="21"/>
          <w:szCs w:val="21"/>
          <w:lang w:val="en-US" w:eastAsia="zh-CN" w:bidi="ar-SA"/>
        </w:rPr>
        <w:t>技能大赛的方式，以小组为单位，裁判相互监督，对检测、评分结果进行一查、二审、三复核。确保评分环节准确、公正。成绩经工作人员统计，组委会、裁判组、仲裁组分别核准后，闭赛式上公布。</w:t>
      </w:r>
    </w:p>
    <w:p w14:paraId="0E956B8C">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（1</w:t>
      </w:r>
      <w:r>
        <w:rPr>
          <w:rFonts w:hint="eastAsia" w:ascii="宋体" w:hAnsi="宋体" w:cs="宋体"/>
          <w:color w:val="auto"/>
          <w:spacing w:val="0"/>
          <w:kern w:val="2"/>
          <w:sz w:val="21"/>
          <w:szCs w:val="21"/>
          <w:lang w:val="en-US" w:eastAsia="zh-CN" w:bidi="ar-SA"/>
        </w:rPr>
        <w:t>1</w:t>
      </w:r>
      <w:r>
        <w:rPr>
          <w:rFonts w:hint="eastAsia" w:ascii="宋体" w:hAnsi="宋体" w:eastAsia="宋体" w:cs="宋体"/>
          <w:color w:val="auto"/>
          <w:spacing w:val="0"/>
          <w:kern w:val="2"/>
          <w:sz w:val="21"/>
          <w:szCs w:val="21"/>
          <w:lang w:val="en-US" w:eastAsia="zh-CN" w:bidi="ar-SA"/>
        </w:rPr>
        <w:t>）成绩复核。为保障成绩评判的准确性，监督组将对赛项总成绩排名前30%的所有参赛选手的成绩进行复核；对其余成绩进行抽检复核，抽检覆盖率不得低于15%。如发现成绩错误以书面方式及时告知裁判长，由裁判长更正成绩并签字确认。复核、抽检错误率超过5%的，裁判组将对所有成绩进行复核。</w:t>
      </w:r>
    </w:p>
    <w:p w14:paraId="5B1A7132">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（1</w:t>
      </w:r>
      <w:r>
        <w:rPr>
          <w:rFonts w:hint="eastAsia" w:ascii="宋体" w:hAnsi="宋体" w:cs="宋体"/>
          <w:color w:val="auto"/>
          <w:spacing w:val="0"/>
          <w:kern w:val="2"/>
          <w:sz w:val="21"/>
          <w:szCs w:val="21"/>
          <w:lang w:val="en-US" w:eastAsia="zh-CN" w:bidi="ar-SA"/>
        </w:rPr>
        <w:t>2</w:t>
      </w:r>
      <w:r>
        <w:rPr>
          <w:rFonts w:hint="eastAsia" w:ascii="宋体" w:hAnsi="宋体" w:eastAsia="宋体" w:cs="宋体"/>
          <w:color w:val="auto"/>
          <w:spacing w:val="0"/>
          <w:kern w:val="2"/>
          <w:sz w:val="21"/>
          <w:szCs w:val="21"/>
          <w:lang w:val="en-US" w:eastAsia="zh-CN" w:bidi="ar-SA"/>
        </w:rPr>
        <w:t>）成绩公布.</w:t>
      </w:r>
    </w:p>
    <w:p w14:paraId="25AE917D">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录入。由承办单位信息员将裁判长提交的赛项总成绩的最终结果录入赛务管理系统。</w:t>
      </w:r>
    </w:p>
    <w:p w14:paraId="0F280418">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审核。承办单位信息员对成绩数据审核后，将赛务系统中录入的成绩导出打印，经赛项裁判长、仲裁组、监督组和赛项组委会审核无误后签字。</w:t>
      </w:r>
    </w:p>
    <w:p w14:paraId="3C60D8E3">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报送。由承办单位信息员将确认的电子版赛项成绩信息上传赛务管理系统。同时将裁判长、仲裁组及监督组签字的纸质打印成绩单报送赛项组委会公室。</w:t>
      </w:r>
    </w:p>
    <w:p w14:paraId="7F29CB87">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12"/>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公布。审核无误的最终成绩单，经裁判长、监督组签字后进行公示。公示时间为2h。成绩公示无异议后，由仲裁组长和监督组长在成绩单上签字，并在闭赛式上公布竞赛成绩。</w:t>
      </w:r>
    </w:p>
    <w:p w14:paraId="71C14AA2">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Times New Roman" w:hAnsi="Times New Roman" w:eastAsia="宋体" w:cs="Times New Roman"/>
          <w:b w:val="0"/>
          <w:bCs w:val="0"/>
          <w:color w:val="auto"/>
          <w:spacing w:val="0"/>
          <w:kern w:val="2"/>
          <w:sz w:val="21"/>
          <w:szCs w:val="21"/>
          <w:lang w:val="en-US" w:eastAsia="zh-CN" w:bidi="ar-SA"/>
        </w:rPr>
        <w:t>6、</w:t>
      </w:r>
      <w:r>
        <w:rPr>
          <w:rFonts w:hint="eastAsia" w:ascii="宋体" w:hAnsi="宋体" w:eastAsia="宋体" w:cs="宋体"/>
          <w:color w:val="auto"/>
          <w:spacing w:val="0"/>
          <w:kern w:val="2"/>
          <w:sz w:val="21"/>
          <w:szCs w:val="21"/>
          <w:lang w:val="en-US" w:eastAsia="zh-CN" w:bidi="ar-SA"/>
        </w:rPr>
        <w:t>竞赛须知</w:t>
      </w:r>
    </w:p>
    <w:p w14:paraId="64D40598">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（一）参赛队须知</w:t>
      </w:r>
    </w:p>
    <w:p w14:paraId="7922AED3">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（1）统一使用单位的团队名称。</w:t>
      </w:r>
    </w:p>
    <w:p w14:paraId="5BEAF3CF">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（2）竞赛采用个人比赛形式，不接受跨单位组队报名。</w:t>
      </w:r>
    </w:p>
    <w:p w14:paraId="4C90FCCC">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（3）参赛选手为单位在职员工，性别男性。</w:t>
      </w:r>
    </w:p>
    <w:p w14:paraId="731F3373">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（4）参赛选手在报名获得确认后，原则上不再更换。允许选手缺席比赛。</w:t>
      </w:r>
    </w:p>
    <w:p w14:paraId="00DD4094">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（5）参赛队在各竞赛专项工作区域的赛位场次和工位采用抽签的方式确定。</w:t>
      </w:r>
    </w:p>
    <w:p w14:paraId="22A6E75C">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（6）参赛队伍所有人员在竞赛期间未经组委会批准，不得接受任何与竞赛内容相关的采访，不得将竞赛的相关情况及资料私自公开。</w:t>
      </w:r>
    </w:p>
    <w:p w14:paraId="07A514C2">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（二）领队和指导教师须知</w:t>
      </w:r>
    </w:p>
    <w:p w14:paraId="081D27DC">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（1）领队和指导教师务必带好有效身份证件，在活动过程中佩戴领队和指导教师证参加竞赛及相关活动；竞赛过程中，领队和指导教师非经允许不得进入竞赛场地。</w:t>
      </w:r>
    </w:p>
    <w:p w14:paraId="351BA046">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（2）妥善管理本队人员的日常生活及安全，遵守并执行大赛组委会的各项规定和安排。</w:t>
      </w:r>
    </w:p>
    <w:p w14:paraId="3A056A84">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（3）严格遵守赛场的规章制度，服从裁判，文明竞赛，持证进入赛场允许进入的区域。</w:t>
      </w:r>
    </w:p>
    <w:p w14:paraId="2933E246">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（4）熟悉场地时，领队和指导教师仅限于口头讲解，不得操作任何仪器设备，不得现场书写任何资料。</w:t>
      </w:r>
    </w:p>
    <w:p w14:paraId="40A1C7CF">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（5）在比赛期间要严格遵守比赛规则，不得私自接触裁判人员。</w:t>
      </w:r>
    </w:p>
    <w:p w14:paraId="27A74DE1">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（6）团结、友爱、互助协作，树立良好的赛风，确保大赛顺利进行。</w:t>
      </w:r>
    </w:p>
    <w:p w14:paraId="7CB028C8">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（三）参赛选手须知</w:t>
      </w:r>
    </w:p>
    <w:p w14:paraId="35CF6846">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（1）选手必须遵守竞赛规则，文明竞赛，服从裁判，否则取消参赛资格。</w:t>
      </w:r>
    </w:p>
    <w:p w14:paraId="522D9A9F">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（2）参赛选手按大赛组委会规定时间到达指定地点，凭参赛证和身份证（两证必须齐全）进入赛场。选手迟到15min取消竞赛资格。</w:t>
      </w:r>
    </w:p>
    <w:p w14:paraId="55A61A44">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（3）裁判组在赛前30min，对参赛选手的证件进行检查及进行大赛相关事项教育。</w:t>
      </w:r>
    </w:p>
    <w:p w14:paraId="180709B4">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（4）比赛过程中，选手必须遵守操作规程，按照规定操作顺序进行比赛，正确使用仪器仪表。不得野蛮操作，不得损坏仪器、仪表、设备，一经发现立即责令其退出比赛。</w:t>
      </w:r>
    </w:p>
    <w:p w14:paraId="2CC1D196">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 xml:space="preserve">（5）参赛选手不得携带通讯工具和相关资料、物品进入大赛场地，不得中途退场。如出现较严重的违规、违纪、舞弊等现象，经裁判组裁定取消大赛成绩。   </w:t>
      </w:r>
    </w:p>
    <w:p w14:paraId="069AEA0A">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6）现场实操过程中出现设备故障等问题，应提请裁判确认原因。若因非选手个人因素造成的设备故障，经请示裁判长同意后，可将该选手比赛时间酌情后延；若因选手个人因素造成设备故障或严重违章操作，裁判长有权决定终止比赛，直至取消比赛资格。</w:t>
      </w:r>
    </w:p>
    <w:p w14:paraId="78599A97">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（7）参赛选手若提前结束比赛，应向裁判举手示意，比赛终止时间由裁判记录；比赛时间终止时，参赛选手不得再进行任何操作。</w:t>
      </w:r>
    </w:p>
    <w:p w14:paraId="41B6E10E">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（8）参赛选手完成比赛项目后，提请裁判检查确认并登记相关内容，选手签字确认。</w:t>
      </w:r>
    </w:p>
    <w:p w14:paraId="745E5757">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（9）比赛结束，参赛选手需清理现场，并将现场仪器设备恢复到初始状态，经裁判确认后方可离开赛场。</w:t>
      </w:r>
    </w:p>
    <w:p w14:paraId="64CCC993">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（四）工作人员须知</w:t>
      </w:r>
    </w:p>
    <w:p w14:paraId="22B76903">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（1）工作人员必须遵守赛场规则，统一着装，服从组委会统一安排，否则取消工作人员资格。</w:t>
      </w:r>
    </w:p>
    <w:p w14:paraId="03DA9595">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（2）工作人员按大赛组委会规定时间到达指定地点，凭工作证进入赛场。</w:t>
      </w:r>
    </w:p>
    <w:p w14:paraId="2E6E2C57">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（3）工作人员认真履行职责，不得私自离开工作岗位。做好引导、解释、接待、维持赛场秩序等服务工作。</w:t>
      </w:r>
    </w:p>
    <w:p w14:paraId="39B99104">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Times New Roman" w:hAnsi="Times New Roman" w:eastAsia="宋体" w:cs="Times New Roman"/>
          <w:b w:val="0"/>
          <w:bCs w:val="0"/>
          <w:color w:val="auto"/>
          <w:spacing w:val="0"/>
          <w:kern w:val="2"/>
          <w:sz w:val="21"/>
          <w:szCs w:val="21"/>
          <w:lang w:val="en-US" w:eastAsia="zh-CN" w:bidi="ar-SA"/>
        </w:rPr>
        <w:t>7.申</w:t>
      </w:r>
      <w:r>
        <w:rPr>
          <w:rFonts w:hint="eastAsia" w:ascii="宋体" w:hAnsi="宋体" w:eastAsia="宋体" w:cs="宋体"/>
          <w:color w:val="auto"/>
          <w:spacing w:val="0"/>
          <w:kern w:val="2"/>
          <w:sz w:val="21"/>
          <w:szCs w:val="21"/>
          <w:lang w:val="en-US" w:eastAsia="zh-CN" w:bidi="ar-SA"/>
        </w:rPr>
        <w:t>诉与仲裁</w:t>
      </w:r>
    </w:p>
    <w:p w14:paraId="448B26DA">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本赛项在比赛过程中若出现有失公正或有关人员违规等现象，代表队领队可在比赛结束后2h之内向仲裁组提出申诉。</w:t>
      </w:r>
    </w:p>
    <w:p w14:paraId="328A06BB">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书面申诉应对申诉事件的现象、发生时间、涉及人员、申诉依据等进行充分、实事求是的叙述，并由领队亲笔签名。非书面申诉不予受理。</w:t>
      </w:r>
    </w:p>
    <w:p w14:paraId="75822811">
      <w:pPr>
        <w:keepNext w:val="0"/>
        <w:keepLines w:val="0"/>
        <w:pageBreakBefore w:val="0"/>
        <w:widowControl w:val="0"/>
        <w:kinsoku/>
        <w:wordWrap/>
        <w:overflowPunct/>
        <w:topLinePunct w:val="0"/>
        <w:autoSpaceDE w:val="0"/>
        <w:autoSpaceDN w:val="0"/>
        <w:bidi w:val="0"/>
        <w:adjustRightInd/>
        <w:snapToGrid w:val="0"/>
        <w:spacing w:line="240" w:lineRule="auto"/>
        <w:ind w:firstLine="420" w:firstLineChars="200"/>
        <w:jc w:val="left"/>
        <w:textAlignment w:val="auto"/>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赛项仲裁工作组在接到申诉后的2h内组织复议，并及时反馈复议结果。申诉方对复议结果仍有异议，可由单位的领队向赛区仲裁委员会提出申诉。赛区仲裁委员会的仲裁结果为最终结果。</w:t>
      </w:r>
    </w:p>
    <w:p w14:paraId="663BC626">
      <w:pPr>
        <w:keepNext w:val="0"/>
        <w:keepLines w:val="0"/>
        <w:pageBreakBefore w:val="0"/>
        <w:widowControl w:val="0"/>
        <w:kinsoku/>
        <w:wordWrap/>
        <w:overflowPunct/>
        <w:topLinePunct w:val="0"/>
        <w:autoSpaceDE w:val="0"/>
        <w:autoSpaceDN w:val="0"/>
        <w:bidi w:val="0"/>
        <w:snapToGrid w:val="0"/>
        <w:spacing w:line="560" w:lineRule="exact"/>
        <w:ind w:firstLine="560"/>
        <w:jc w:val="left"/>
        <w:rPr>
          <w:rFonts w:hint="eastAsia" w:ascii="宋体" w:hAnsi="宋体" w:eastAsia="宋体" w:cs="宋体"/>
          <w:color w:val="auto"/>
          <w:spacing w:val="-12"/>
          <w:kern w:val="2"/>
          <w:sz w:val="21"/>
          <w:szCs w:val="21"/>
          <w:lang w:val="en-US" w:eastAsia="zh-CN" w:bidi="ar-SA"/>
        </w:rPr>
      </w:pPr>
    </w:p>
    <w:p w14:paraId="596F3AEB">
      <w:pPr>
        <w:pStyle w:val="5"/>
        <w:keepNext w:val="0"/>
        <w:keepLines w:val="0"/>
        <w:pageBreakBefore w:val="0"/>
        <w:widowControl w:val="0"/>
        <w:kinsoku/>
        <w:wordWrap/>
        <w:overflowPunct/>
        <w:topLinePunct w:val="0"/>
        <w:autoSpaceDE w:val="0"/>
        <w:autoSpaceDN w:val="0"/>
        <w:bidi w:val="0"/>
        <w:rPr>
          <w:rFonts w:hint="default" w:ascii="宋体" w:hAnsi="宋体" w:cs="宋体"/>
          <w:color w:val="auto"/>
          <w:spacing w:val="-12"/>
          <w:sz w:val="21"/>
          <w:szCs w:val="21"/>
          <w:lang w:val="en-US" w:eastAsia="zh-CN"/>
        </w:rPr>
      </w:pPr>
    </w:p>
    <w:p w14:paraId="179BD88A">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0"/>
        <w:rPr>
          <w:rFonts w:hint="default"/>
          <w:b/>
          <w:bCs/>
          <w:color w:val="auto"/>
          <w:spacing w:val="0"/>
          <w:sz w:val="32"/>
          <w:szCs w:val="32"/>
          <w:lang w:val="en-US" w:eastAsia="zh-CN"/>
        </w:rPr>
      </w:pPr>
      <w:r>
        <w:rPr>
          <w:rFonts w:hint="eastAsia"/>
          <w:b/>
          <w:bCs/>
          <w:color w:val="auto"/>
          <w:spacing w:val="0"/>
          <w:sz w:val="32"/>
          <w:szCs w:val="32"/>
          <w:lang w:val="en-US" w:eastAsia="zh-CN"/>
        </w:rPr>
        <w:t>四、竞赛场地、设施设备</w:t>
      </w:r>
      <w:bookmarkEnd w:id="40"/>
      <w:bookmarkEnd w:id="41"/>
      <w:r>
        <w:rPr>
          <w:rFonts w:hint="eastAsia"/>
          <w:b/>
          <w:bCs/>
          <w:color w:val="auto"/>
          <w:spacing w:val="0"/>
          <w:sz w:val="32"/>
          <w:szCs w:val="32"/>
          <w:lang w:val="en-US" w:eastAsia="zh-CN"/>
        </w:rPr>
        <w:t>等安排</w:t>
      </w:r>
    </w:p>
    <w:p w14:paraId="4589D2AC">
      <w:pPr>
        <w:keepNext w:val="0"/>
        <w:keepLines w:val="0"/>
        <w:pageBreakBefore w:val="0"/>
        <w:widowControl w:val="0"/>
        <w:kinsoku/>
        <w:wordWrap/>
        <w:overflowPunct/>
        <w:topLinePunct w:val="0"/>
        <w:autoSpaceDE w:val="0"/>
        <w:autoSpaceDN w:val="0"/>
        <w:bidi w:val="0"/>
        <w:adjustRightInd/>
        <w:snapToGrid/>
        <w:spacing w:line="240" w:lineRule="auto"/>
        <w:ind w:firstLine="562" w:firstLineChars="200"/>
        <w:jc w:val="both"/>
        <w:textAlignment w:val="auto"/>
        <w:outlineLvl w:val="1"/>
        <w:rPr>
          <w:rFonts w:hint="eastAsia"/>
          <w:b/>
          <w:bCs/>
          <w:color w:val="auto"/>
          <w:spacing w:val="0"/>
          <w:sz w:val="28"/>
          <w:szCs w:val="28"/>
          <w:lang w:val="en-US" w:eastAsia="zh-CN"/>
        </w:rPr>
      </w:pPr>
      <w:bookmarkStart w:id="42" w:name="_Toc13017"/>
      <w:bookmarkStart w:id="43" w:name="_Toc19914"/>
      <w:r>
        <w:rPr>
          <w:rFonts w:hint="eastAsia"/>
          <w:b/>
          <w:bCs/>
          <w:color w:val="auto"/>
          <w:spacing w:val="0"/>
          <w:sz w:val="28"/>
          <w:szCs w:val="28"/>
          <w:lang w:val="en-US" w:eastAsia="zh-CN"/>
        </w:rPr>
        <w:t>（一）</w:t>
      </w:r>
      <w:bookmarkEnd w:id="42"/>
      <w:bookmarkEnd w:id="43"/>
      <w:r>
        <w:rPr>
          <w:rFonts w:hint="eastAsia"/>
          <w:b/>
          <w:bCs/>
          <w:color w:val="auto"/>
          <w:spacing w:val="0"/>
          <w:sz w:val="28"/>
          <w:szCs w:val="28"/>
          <w:lang w:val="en-US" w:eastAsia="zh-CN"/>
        </w:rPr>
        <w:t>赛场规格要求</w:t>
      </w:r>
    </w:p>
    <w:p w14:paraId="33A50B7B">
      <w:pPr>
        <w:keepNext w:val="0"/>
        <w:keepLines w:val="0"/>
        <w:pageBreakBefore w:val="0"/>
        <w:widowControl w:val="0"/>
        <w:suppressLineNumbers w:val="0"/>
        <w:kinsoku/>
        <w:wordWrap/>
        <w:overflowPunct/>
        <w:topLinePunct w:val="0"/>
        <w:autoSpaceDE w:val="0"/>
        <w:autoSpaceDN w:val="0"/>
        <w:bidi w:val="0"/>
        <w:adjustRightInd/>
        <w:snapToGrid/>
        <w:spacing w:line="240" w:lineRule="auto"/>
        <w:ind w:left="0" w:leftChars="0" w:firstLine="420" w:firstLineChars="200"/>
        <w:jc w:val="both"/>
        <w:textAlignment w:val="auto"/>
        <w:rPr>
          <w:rFonts w:hint="default" w:ascii="宋体" w:hAnsi="宋体" w:cs="宋体"/>
          <w:b/>
          <w:bCs/>
          <w:color w:val="auto"/>
          <w:spacing w:val="0"/>
          <w:sz w:val="21"/>
          <w:szCs w:val="21"/>
          <w:highlight w:val="none"/>
          <w:shd w:val="clear" w:color="FFFFFF" w:fill="D9D9D9"/>
          <w:lang w:val="en-US" w:eastAsia="zh-CN"/>
        </w:rPr>
      </w:pPr>
      <w:r>
        <w:rPr>
          <w:rFonts w:hint="eastAsia" w:ascii="宋体" w:hAnsi="宋体" w:cs="宋体"/>
          <w:color w:val="auto"/>
          <w:spacing w:val="0"/>
          <w:sz w:val="21"/>
          <w:szCs w:val="21"/>
          <w:lang w:val="en-US" w:eastAsia="zh-CN"/>
        </w:rPr>
        <w:t xml:space="preserve"> </w:t>
      </w:r>
      <w:r>
        <w:rPr>
          <w:rFonts w:hint="eastAsia" w:ascii="宋体" w:hAnsi="宋体" w:eastAsia="宋体" w:cs="宋体"/>
          <w:color w:val="auto"/>
          <w:spacing w:val="0"/>
          <w:sz w:val="21"/>
          <w:szCs w:val="21"/>
          <w:highlight w:val="none"/>
          <w:lang w:val="en-US" w:eastAsia="zh-CN"/>
        </w:rPr>
        <w:t>瓦斯检查工</w:t>
      </w:r>
      <w:r>
        <w:rPr>
          <w:rFonts w:hint="eastAsia" w:ascii="宋体" w:hAnsi="宋体" w:cs="宋体"/>
          <w:color w:val="auto"/>
          <w:spacing w:val="0"/>
          <w:sz w:val="21"/>
          <w:szCs w:val="21"/>
          <w:highlight w:val="none"/>
          <w:lang w:val="en-US" w:eastAsia="zh-CN"/>
        </w:rPr>
        <w:t>竞赛</w:t>
      </w:r>
      <w:r>
        <w:rPr>
          <w:rFonts w:hint="eastAsia" w:ascii="宋体" w:hAnsi="宋体" w:eastAsia="宋体" w:cs="宋体"/>
          <w:color w:val="auto"/>
          <w:spacing w:val="0"/>
          <w:sz w:val="21"/>
          <w:szCs w:val="21"/>
          <w:highlight w:val="none"/>
          <w:lang w:val="en-US" w:eastAsia="zh-CN"/>
        </w:rPr>
        <w:t>项目场地总体面积要求：长度30米，宽度10</w:t>
      </w:r>
      <w:r>
        <w:rPr>
          <w:rFonts w:hint="eastAsia" w:ascii="宋体" w:hAnsi="宋体" w:cs="宋体"/>
          <w:color w:val="auto"/>
          <w:spacing w:val="0"/>
          <w:sz w:val="21"/>
          <w:szCs w:val="21"/>
          <w:highlight w:val="none"/>
          <w:lang w:val="en-US" w:eastAsia="zh-CN"/>
        </w:rPr>
        <w:t>米</w:t>
      </w:r>
      <w:r>
        <w:rPr>
          <w:rFonts w:hint="eastAsia" w:ascii="宋体" w:hAnsi="宋体" w:eastAsia="宋体" w:cs="宋体"/>
          <w:color w:val="auto"/>
          <w:spacing w:val="0"/>
          <w:sz w:val="21"/>
          <w:szCs w:val="21"/>
          <w:highlight w:val="none"/>
          <w:lang w:val="en-US" w:eastAsia="zh-CN"/>
        </w:rPr>
        <w:t>，其中包括</w:t>
      </w:r>
      <w:r>
        <w:rPr>
          <w:rFonts w:hint="eastAsia" w:ascii="宋体" w:hAnsi="宋体" w:cs="宋体"/>
          <w:color w:val="auto"/>
          <w:spacing w:val="0"/>
          <w:sz w:val="21"/>
          <w:szCs w:val="21"/>
          <w:highlight w:val="none"/>
          <w:lang w:val="en-US" w:eastAsia="zh-CN"/>
        </w:rPr>
        <w:t>5个区域：</w:t>
      </w:r>
      <w:r>
        <w:rPr>
          <w:rFonts w:hint="eastAsia" w:ascii="宋体" w:hAnsi="宋体" w:eastAsia="宋体" w:cs="宋体"/>
          <w:color w:val="auto"/>
          <w:spacing w:val="0"/>
          <w:sz w:val="21"/>
          <w:szCs w:val="21"/>
          <w:highlight w:val="none"/>
          <w:lang w:val="en-US" w:eastAsia="zh-CN"/>
        </w:rPr>
        <w:t>3个竞赛区域</w:t>
      </w:r>
      <w:r>
        <w:rPr>
          <w:rFonts w:hint="eastAsia" w:ascii="宋体" w:hAnsi="宋体" w:cs="宋体"/>
          <w:color w:val="auto"/>
          <w:spacing w:val="0"/>
          <w:sz w:val="21"/>
          <w:szCs w:val="21"/>
          <w:highlight w:val="none"/>
          <w:lang w:val="en-US" w:eastAsia="zh-CN"/>
        </w:rPr>
        <w:t>、1个检录等候区、1个调试恢复区。</w:t>
      </w:r>
    </w:p>
    <w:p w14:paraId="5AE9763E">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Chars="0" w:right="0" w:rightChars="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1.竞赛场地设立3个竞赛区域：故障判断区、一氧化碳测定区、模拟巷道实操区。其中模拟巷道规格为长24米、宽度2.8米、高度2.5米；故障判断区工位的面积为14平米，长5米、宽2.8米；一氧化碳测定区工位面积为14平米，长5米宽2.8米， 每个工位设置明显标识。</w:t>
      </w:r>
    </w:p>
    <w:p w14:paraId="229DA0A8">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Chars="0" w:right="0" w:rightChars="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 xml:space="preserve">2.模拟巷道工位应配备（已有现成可用的模拟巷道）：风机，照明，瓦斯传感器，模拟开关，模拟钻机，光学瓦斯检定器等相关配件。 </w:t>
      </w:r>
    </w:p>
    <w:p w14:paraId="7EFEB11E">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Chars="200" w:right="0" w:rightChars="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 xml:space="preserve">3.故障判断工位应配备：10台光学瓦斯检定器（备用10台），记录笔，试卷纸，计时器，桌子等。 </w:t>
      </w:r>
    </w:p>
    <w:p w14:paraId="2DFE8162">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right="0" w:rightChars="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4.设置检录区、等候区：要求配备检身装置，能临时候场的区域，考虑天气原因，需设置遮阳避雨装置和候场所用的桌子凳子两套。</w:t>
      </w:r>
    </w:p>
    <w:p w14:paraId="43572581">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Chars="200" w:right="0" w:rightChars="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5.设置设备调试人员恢复区：设置遮阳避雨装置和调试恢复所用的桌子凳子两套。</w:t>
      </w:r>
    </w:p>
    <w:p w14:paraId="6655E216">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Chars="200" w:right="0" w:rightChars="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6.竞赛场地应有监控所有选手竞赛全过程的视频摄录设备等。</w:t>
      </w:r>
    </w:p>
    <w:p w14:paraId="29570F49">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Chars="200" w:right="0" w:rightChars="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7.竞赛现场应配备相关的工作人员以及设备维修人员、电器维护人员、医护人员、安全人员等。</w:t>
      </w:r>
    </w:p>
    <w:p w14:paraId="2AC02AE0">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Chars="200" w:right="0" w:rightChars="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8.竞赛现场应提供一处与竞赛场地隔离的较为安静的评分场所进行打分。</w:t>
      </w:r>
    </w:p>
    <w:p w14:paraId="0AD010C5">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right="0" w:rightChars="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9.竞赛现场应在大赛前两天将工位、 设施安装调试到位并对参赛选手开放，以便选手熟悉场地、掌握设备性能取得好的成绩。在报到当天熟悉场地时选手只能参观考场不允许对设备进行操作，提前一天晚上需封闭考场。</w:t>
      </w:r>
    </w:p>
    <w:p w14:paraId="40C759F9">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Chars="200" w:right="0" w:rightChars="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10.按照大赛文件的要求准备裁判人员使用的检测工具仪器及办公用具。</w:t>
      </w:r>
    </w:p>
    <w:p w14:paraId="4D730B0C">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Chars="200" w:right="0" w:rightChars="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11.为现场竞赛选手和裁判人员提供相应的防护用品。</w:t>
      </w:r>
    </w:p>
    <w:p w14:paraId="0CB2974B">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right="0" w:rightChars="0" w:firstLine="586" w:firstLineChars="200"/>
        <w:jc w:val="left"/>
        <w:textAlignment w:val="baseline"/>
        <w:rPr>
          <w:rFonts w:hint="eastAsia"/>
          <w:b/>
          <w:bCs/>
          <w:color w:val="auto"/>
          <w:spacing w:val="6"/>
          <w:sz w:val="28"/>
          <w:szCs w:val="28"/>
          <w:lang w:val="en-US" w:eastAsia="zh-CN"/>
        </w:rPr>
      </w:pPr>
      <w:r>
        <w:rPr>
          <w:rFonts w:hint="eastAsia"/>
          <w:b/>
          <w:bCs/>
          <w:color w:val="auto"/>
          <w:spacing w:val="6"/>
          <w:sz w:val="28"/>
          <w:szCs w:val="28"/>
          <w:lang w:val="en-US" w:eastAsia="zh-CN"/>
        </w:rPr>
        <w:t>（二）场地设施</w:t>
      </w:r>
    </w:p>
    <w:p w14:paraId="430A6CFF">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auto"/>
        <w:outlineLvl w:val="1"/>
        <w:rPr>
          <w:rFonts w:hint="eastAsia" w:ascii="宋体" w:hAnsi="宋体" w:cs="宋体"/>
          <w:color w:val="auto"/>
          <w:spacing w:val="-12"/>
          <w:sz w:val="21"/>
          <w:szCs w:val="21"/>
          <w:lang w:val="en-US" w:eastAsia="zh-CN"/>
        </w:rPr>
      </w:pPr>
      <w:r>
        <w:rPr>
          <w:rFonts w:hint="eastAsia"/>
          <w:color w:val="auto"/>
          <w:lang w:val="en-US" w:eastAsia="zh-CN"/>
        </w:rPr>
        <w:t>1.</w:t>
      </w:r>
      <w:r>
        <w:rPr>
          <w:rFonts w:hint="eastAsia" w:ascii="宋体" w:hAnsi="宋体" w:cs="宋体"/>
          <w:color w:val="auto"/>
          <w:spacing w:val="-12"/>
          <w:sz w:val="21"/>
          <w:szCs w:val="21"/>
          <w:lang w:val="en-US" w:eastAsia="zh-CN"/>
        </w:rPr>
        <w:t>场地设施设备清单</w:t>
      </w:r>
    </w:p>
    <w:p w14:paraId="6B010084">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color w:val="auto"/>
          <w:spacing w:val="3"/>
          <w:sz w:val="21"/>
          <w:szCs w:val="21"/>
        </w:rPr>
      </w:pPr>
      <w:r>
        <w:rPr>
          <w:rFonts w:hint="eastAsia" w:ascii="宋体" w:hAnsi="宋体" w:cs="宋体"/>
          <w:color w:val="auto"/>
          <w:sz w:val="21"/>
          <w:szCs w:val="21"/>
          <w:lang w:val="en-US" w:eastAsia="zh-CN"/>
        </w:rPr>
        <w:t>瓦斯检查工</w:t>
      </w:r>
      <w:r>
        <w:rPr>
          <w:rFonts w:hint="eastAsia" w:ascii="宋体" w:hAnsi="宋体" w:eastAsia="宋体" w:cs="宋体"/>
          <w:color w:val="auto"/>
          <w:spacing w:val="3"/>
          <w:sz w:val="21"/>
          <w:szCs w:val="21"/>
        </w:rPr>
        <w:t>项目赛场提供设施设备清单表</w:t>
      </w:r>
    </w:p>
    <w:tbl>
      <w:tblPr>
        <w:tblStyle w:val="11"/>
        <w:tblpPr w:leftFromText="180" w:rightFromText="180" w:vertAnchor="text" w:horzAnchor="page" w:tblpX="1983" w:tblpY="450"/>
        <w:tblOverlap w:val="never"/>
        <w:tblW w:w="8400" w:type="dxa"/>
        <w:tblInd w:w="0" w:type="dxa"/>
        <w:tblLayout w:type="autofit"/>
        <w:tblCellMar>
          <w:top w:w="0" w:type="dxa"/>
          <w:left w:w="108" w:type="dxa"/>
          <w:bottom w:w="0" w:type="dxa"/>
          <w:right w:w="108" w:type="dxa"/>
        </w:tblCellMar>
      </w:tblPr>
      <w:tblGrid>
        <w:gridCol w:w="1060"/>
        <w:gridCol w:w="780"/>
        <w:gridCol w:w="3560"/>
        <w:gridCol w:w="1600"/>
        <w:gridCol w:w="700"/>
        <w:gridCol w:w="700"/>
      </w:tblGrid>
      <w:tr w14:paraId="6CE6D0D9">
        <w:tblPrEx>
          <w:tblCellMar>
            <w:top w:w="0" w:type="dxa"/>
            <w:left w:w="108" w:type="dxa"/>
            <w:bottom w:w="0" w:type="dxa"/>
            <w:right w:w="108" w:type="dxa"/>
          </w:tblCellMar>
        </w:tblPrEx>
        <w:trPr>
          <w:trHeight w:val="499" w:hRule="atLeast"/>
        </w:trPr>
        <w:tc>
          <w:tcPr>
            <w:tcW w:w="1060" w:type="dxa"/>
            <w:tcBorders>
              <w:top w:val="single" w:color="auto" w:sz="4" w:space="0"/>
              <w:left w:val="single" w:color="auto" w:sz="4" w:space="0"/>
              <w:bottom w:val="single" w:color="auto" w:sz="4" w:space="0"/>
              <w:right w:val="single" w:color="auto" w:sz="4" w:space="0"/>
            </w:tcBorders>
            <w:noWrap/>
            <w:vAlign w:val="center"/>
          </w:tcPr>
          <w:p w14:paraId="7FC41494">
            <w:pPr>
              <w:tabs>
                <w:tab w:val="left" w:pos="2331"/>
              </w:tabs>
              <w:bidi w:val="0"/>
              <w:jc w:val="left"/>
              <w:rPr>
                <w:rFonts w:hint="eastAsia" w:ascii="宋体" w:hAnsi="宋体" w:eastAsia="宋体" w:cs="宋体"/>
                <w:b/>
                <w:bCs/>
                <w:color w:val="auto"/>
                <w:sz w:val="21"/>
                <w:szCs w:val="21"/>
              </w:rPr>
            </w:pPr>
            <w:r>
              <w:rPr>
                <w:rFonts w:hint="eastAsia" w:ascii="宋体" w:hAnsi="宋体" w:eastAsia="宋体" w:cs="宋体"/>
                <w:color w:val="auto"/>
                <w:sz w:val="21"/>
                <w:szCs w:val="21"/>
                <w:lang w:val="en-US" w:eastAsia="zh-CN"/>
              </w:rPr>
              <w:tab/>
            </w:r>
            <w:r>
              <w:rPr>
                <w:rFonts w:hint="eastAsia" w:ascii="宋体" w:hAnsi="宋体" w:eastAsia="宋体" w:cs="宋体"/>
                <w:b/>
                <w:bCs/>
                <w:color w:val="auto"/>
                <w:sz w:val="21"/>
                <w:szCs w:val="21"/>
              </w:rPr>
              <w:t>目</w:t>
            </w:r>
          </w:p>
        </w:tc>
        <w:tc>
          <w:tcPr>
            <w:tcW w:w="780" w:type="dxa"/>
            <w:tcBorders>
              <w:top w:val="single" w:color="auto" w:sz="4" w:space="0"/>
              <w:left w:val="nil"/>
              <w:bottom w:val="single" w:color="auto" w:sz="4" w:space="0"/>
              <w:right w:val="single" w:color="auto" w:sz="4" w:space="0"/>
            </w:tcBorders>
            <w:noWrap/>
            <w:vAlign w:val="center"/>
          </w:tcPr>
          <w:p w14:paraId="3DA3BBEC">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序号</w:t>
            </w:r>
          </w:p>
        </w:tc>
        <w:tc>
          <w:tcPr>
            <w:tcW w:w="3560" w:type="dxa"/>
            <w:tcBorders>
              <w:top w:val="single" w:color="auto" w:sz="4" w:space="0"/>
              <w:left w:val="nil"/>
              <w:bottom w:val="single" w:color="auto" w:sz="4" w:space="0"/>
              <w:right w:val="single" w:color="auto" w:sz="4" w:space="0"/>
            </w:tcBorders>
            <w:vAlign w:val="center"/>
          </w:tcPr>
          <w:p w14:paraId="681C8C8E">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600" w:type="dxa"/>
            <w:tcBorders>
              <w:top w:val="single" w:color="auto" w:sz="4" w:space="0"/>
              <w:left w:val="nil"/>
              <w:bottom w:val="single" w:color="auto" w:sz="4" w:space="0"/>
              <w:right w:val="single" w:color="auto" w:sz="4" w:space="0"/>
            </w:tcBorders>
            <w:vAlign w:val="center"/>
          </w:tcPr>
          <w:p w14:paraId="06E361D5">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型号</w:t>
            </w:r>
          </w:p>
        </w:tc>
        <w:tc>
          <w:tcPr>
            <w:tcW w:w="700" w:type="dxa"/>
            <w:tcBorders>
              <w:top w:val="single" w:color="auto" w:sz="4" w:space="0"/>
              <w:left w:val="nil"/>
              <w:bottom w:val="single" w:color="auto" w:sz="4" w:space="0"/>
              <w:right w:val="single" w:color="auto" w:sz="4" w:space="0"/>
            </w:tcBorders>
            <w:vAlign w:val="center"/>
          </w:tcPr>
          <w:p w14:paraId="640951BA">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单位</w:t>
            </w:r>
          </w:p>
        </w:tc>
        <w:tc>
          <w:tcPr>
            <w:tcW w:w="700" w:type="dxa"/>
            <w:tcBorders>
              <w:top w:val="single" w:color="auto" w:sz="4" w:space="0"/>
              <w:left w:val="nil"/>
              <w:bottom w:val="single" w:color="auto" w:sz="4" w:space="0"/>
              <w:right w:val="single" w:color="auto" w:sz="4" w:space="0"/>
            </w:tcBorders>
            <w:vAlign w:val="center"/>
          </w:tcPr>
          <w:p w14:paraId="1035D365">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数量</w:t>
            </w:r>
          </w:p>
        </w:tc>
      </w:tr>
      <w:tr w14:paraId="59D1534D">
        <w:tblPrEx>
          <w:tblCellMar>
            <w:top w:w="0" w:type="dxa"/>
            <w:left w:w="108" w:type="dxa"/>
            <w:bottom w:w="0" w:type="dxa"/>
            <w:right w:w="108" w:type="dxa"/>
          </w:tblCellMar>
        </w:tblPrEx>
        <w:trPr>
          <w:trHeight w:val="420" w:hRule="atLeast"/>
        </w:trPr>
        <w:tc>
          <w:tcPr>
            <w:tcW w:w="1060" w:type="dxa"/>
            <w:vMerge w:val="restart"/>
            <w:tcBorders>
              <w:top w:val="nil"/>
              <w:left w:val="single" w:color="auto" w:sz="4" w:space="0"/>
              <w:right w:val="single" w:color="auto" w:sz="4" w:space="0"/>
            </w:tcBorders>
            <w:vAlign w:val="center"/>
          </w:tcPr>
          <w:p w14:paraId="177FB30B">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竞赛用设备</w:t>
            </w:r>
          </w:p>
        </w:tc>
        <w:tc>
          <w:tcPr>
            <w:tcW w:w="780" w:type="dxa"/>
            <w:tcBorders>
              <w:top w:val="nil"/>
              <w:left w:val="nil"/>
              <w:bottom w:val="single" w:color="auto" w:sz="4" w:space="0"/>
              <w:right w:val="single" w:color="auto" w:sz="4" w:space="0"/>
            </w:tcBorders>
            <w:noWrap/>
            <w:vAlign w:val="center"/>
          </w:tcPr>
          <w:p w14:paraId="3D5491B7">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560" w:type="dxa"/>
            <w:tcBorders>
              <w:top w:val="nil"/>
              <w:left w:val="nil"/>
              <w:bottom w:val="single" w:color="auto" w:sz="4" w:space="0"/>
              <w:right w:val="single" w:color="auto" w:sz="4" w:space="0"/>
            </w:tcBorders>
            <w:vAlign w:val="center"/>
          </w:tcPr>
          <w:p w14:paraId="36A5950E">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rPr>
            </w:pPr>
            <w:r>
              <w:rPr>
                <w:rFonts w:hint="eastAsia" w:ascii="宋体" w:hAnsi="宋体" w:eastAsia="宋体" w:cs="宋体"/>
                <w:color w:val="auto"/>
                <w:sz w:val="21"/>
                <w:szCs w:val="21"/>
              </w:rPr>
              <w:t>光学瓦斯检定器</w:t>
            </w:r>
          </w:p>
        </w:tc>
        <w:tc>
          <w:tcPr>
            <w:tcW w:w="1600" w:type="dxa"/>
            <w:tcBorders>
              <w:top w:val="nil"/>
              <w:left w:val="nil"/>
              <w:bottom w:val="single" w:color="auto" w:sz="4" w:space="0"/>
              <w:right w:val="single" w:color="auto" w:sz="4" w:space="0"/>
            </w:tcBorders>
            <w:vAlign w:val="center"/>
          </w:tcPr>
          <w:p w14:paraId="6AD6E9E1">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CJG10(B)</w:t>
            </w:r>
          </w:p>
        </w:tc>
        <w:tc>
          <w:tcPr>
            <w:tcW w:w="700" w:type="dxa"/>
            <w:tcBorders>
              <w:top w:val="nil"/>
              <w:left w:val="nil"/>
              <w:bottom w:val="single" w:color="auto" w:sz="4" w:space="0"/>
              <w:right w:val="single" w:color="auto" w:sz="4" w:space="0"/>
            </w:tcBorders>
            <w:vAlign w:val="center"/>
          </w:tcPr>
          <w:p w14:paraId="5EB22DEE">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台</w:t>
            </w:r>
          </w:p>
        </w:tc>
        <w:tc>
          <w:tcPr>
            <w:tcW w:w="700" w:type="dxa"/>
            <w:tcBorders>
              <w:top w:val="nil"/>
              <w:left w:val="nil"/>
              <w:bottom w:val="single" w:color="auto" w:sz="4" w:space="0"/>
              <w:right w:val="single" w:color="auto" w:sz="4" w:space="0"/>
            </w:tcBorders>
            <w:vAlign w:val="center"/>
          </w:tcPr>
          <w:p w14:paraId="32A72C35">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22</w:t>
            </w:r>
          </w:p>
        </w:tc>
      </w:tr>
      <w:tr w14:paraId="18E1DF60">
        <w:tblPrEx>
          <w:tblCellMar>
            <w:top w:w="0" w:type="dxa"/>
            <w:left w:w="108" w:type="dxa"/>
            <w:bottom w:w="0" w:type="dxa"/>
            <w:right w:w="108" w:type="dxa"/>
          </w:tblCellMar>
        </w:tblPrEx>
        <w:trPr>
          <w:trHeight w:val="420" w:hRule="atLeast"/>
        </w:trPr>
        <w:tc>
          <w:tcPr>
            <w:tcW w:w="1060" w:type="dxa"/>
            <w:vMerge w:val="continue"/>
            <w:tcBorders>
              <w:left w:val="single" w:color="auto" w:sz="4" w:space="0"/>
              <w:right w:val="single" w:color="auto" w:sz="4" w:space="0"/>
            </w:tcBorders>
            <w:vAlign w:val="center"/>
          </w:tcPr>
          <w:p w14:paraId="2135FC8F">
            <w:pPr>
              <w:keepNext w:val="0"/>
              <w:keepLines w:val="0"/>
              <w:pageBreakBefore w:val="0"/>
              <w:widowControl w:val="0"/>
              <w:kinsoku/>
              <w:wordWrap/>
              <w:overflowPunct/>
              <w:topLinePunct w:val="0"/>
              <w:autoSpaceDE w:val="0"/>
              <w:autoSpaceDN w:val="0"/>
              <w:bidi w:val="0"/>
              <w:jc w:val="left"/>
              <w:rPr>
                <w:rFonts w:hint="eastAsia" w:ascii="宋体" w:hAnsi="宋体" w:eastAsia="宋体" w:cs="宋体"/>
                <w:b/>
                <w:bCs/>
                <w:color w:val="auto"/>
                <w:sz w:val="21"/>
                <w:szCs w:val="21"/>
              </w:rPr>
            </w:pPr>
          </w:p>
        </w:tc>
        <w:tc>
          <w:tcPr>
            <w:tcW w:w="780" w:type="dxa"/>
            <w:tcBorders>
              <w:top w:val="nil"/>
              <w:left w:val="nil"/>
              <w:bottom w:val="single" w:color="auto" w:sz="4" w:space="0"/>
              <w:right w:val="single" w:color="auto" w:sz="4" w:space="0"/>
            </w:tcBorders>
            <w:noWrap/>
            <w:vAlign w:val="center"/>
          </w:tcPr>
          <w:p w14:paraId="6EAC2936">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3560" w:type="dxa"/>
            <w:tcBorders>
              <w:top w:val="nil"/>
              <w:left w:val="nil"/>
              <w:bottom w:val="single" w:color="auto" w:sz="4" w:space="0"/>
              <w:right w:val="single" w:color="auto" w:sz="4" w:space="0"/>
            </w:tcBorders>
            <w:vAlign w:val="center"/>
          </w:tcPr>
          <w:p w14:paraId="37A1B6E9">
            <w:pPr>
              <w:keepNext w:val="0"/>
              <w:keepLines w:val="0"/>
              <w:pageBreakBefore w:val="0"/>
              <w:widowControl w:val="0"/>
              <w:kinsoku/>
              <w:wordWrap/>
              <w:overflowPunct/>
              <w:topLinePunct w:val="0"/>
              <w:autoSpaceDE w:val="0"/>
              <w:autoSpaceDN w:val="0"/>
              <w:bidi w:val="0"/>
              <w:rPr>
                <w:rFonts w:hint="eastAsia" w:ascii="宋体" w:hAnsi="宋体" w:eastAsia="宋体" w:cs="宋体"/>
                <w:color w:val="auto"/>
                <w:sz w:val="21"/>
                <w:szCs w:val="21"/>
              </w:rPr>
            </w:pPr>
            <w:r>
              <w:rPr>
                <w:rFonts w:hint="eastAsia" w:ascii="宋体" w:hAnsi="宋体" w:eastAsia="宋体" w:cs="宋体"/>
                <w:color w:val="auto"/>
                <w:sz w:val="21"/>
                <w:szCs w:val="21"/>
              </w:rPr>
              <w:t>便携式瓦斯报警仪</w:t>
            </w:r>
          </w:p>
        </w:tc>
        <w:tc>
          <w:tcPr>
            <w:tcW w:w="1600" w:type="dxa"/>
            <w:tcBorders>
              <w:top w:val="nil"/>
              <w:left w:val="nil"/>
              <w:bottom w:val="single" w:color="auto" w:sz="4" w:space="0"/>
              <w:right w:val="single" w:color="auto" w:sz="4" w:space="0"/>
            </w:tcBorders>
            <w:vAlign w:val="center"/>
          </w:tcPr>
          <w:p w14:paraId="347A6638">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JCB4</w:t>
            </w:r>
          </w:p>
        </w:tc>
        <w:tc>
          <w:tcPr>
            <w:tcW w:w="700" w:type="dxa"/>
            <w:tcBorders>
              <w:top w:val="nil"/>
              <w:left w:val="nil"/>
              <w:bottom w:val="single" w:color="auto" w:sz="4" w:space="0"/>
              <w:right w:val="single" w:color="auto" w:sz="4" w:space="0"/>
            </w:tcBorders>
            <w:vAlign w:val="center"/>
          </w:tcPr>
          <w:p w14:paraId="0AE66BA9">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台</w:t>
            </w:r>
          </w:p>
        </w:tc>
        <w:tc>
          <w:tcPr>
            <w:tcW w:w="700" w:type="dxa"/>
            <w:tcBorders>
              <w:top w:val="nil"/>
              <w:left w:val="nil"/>
              <w:bottom w:val="single" w:color="auto" w:sz="4" w:space="0"/>
              <w:right w:val="single" w:color="auto" w:sz="4" w:space="0"/>
            </w:tcBorders>
            <w:vAlign w:val="center"/>
          </w:tcPr>
          <w:p w14:paraId="094AB176">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r>
      <w:tr w14:paraId="676B952A">
        <w:tblPrEx>
          <w:tblCellMar>
            <w:top w:w="0" w:type="dxa"/>
            <w:left w:w="108" w:type="dxa"/>
            <w:bottom w:w="0" w:type="dxa"/>
            <w:right w:w="108" w:type="dxa"/>
          </w:tblCellMar>
        </w:tblPrEx>
        <w:trPr>
          <w:trHeight w:val="420" w:hRule="atLeast"/>
        </w:trPr>
        <w:tc>
          <w:tcPr>
            <w:tcW w:w="1060" w:type="dxa"/>
            <w:vMerge w:val="continue"/>
            <w:tcBorders>
              <w:left w:val="single" w:color="auto" w:sz="4" w:space="0"/>
              <w:right w:val="single" w:color="auto" w:sz="4" w:space="0"/>
            </w:tcBorders>
            <w:vAlign w:val="center"/>
          </w:tcPr>
          <w:p w14:paraId="2E2D1F13">
            <w:pPr>
              <w:keepNext w:val="0"/>
              <w:keepLines w:val="0"/>
              <w:pageBreakBefore w:val="0"/>
              <w:widowControl w:val="0"/>
              <w:kinsoku/>
              <w:wordWrap/>
              <w:overflowPunct/>
              <w:topLinePunct w:val="0"/>
              <w:autoSpaceDE w:val="0"/>
              <w:autoSpaceDN w:val="0"/>
              <w:bidi w:val="0"/>
              <w:jc w:val="left"/>
              <w:rPr>
                <w:rFonts w:hint="eastAsia" w:ascii="宋体" w:hAnsi="宋体" w:eastAsia="宋体" w:cs="宋体"/>
                <w:b/>
                <w:bCs/>
                <w:color w:val="auto"/>
                <w:sz w:val="21"/>
                <w:szCs w:val="21"/>
              </w:rPr>
            </w:pPr>
          </w:p>
        </w:tc>
        <w:tc>
          <w:tcPr>
            <w:tcW w:w="780" w:type="dxa"/>
            <w:tcBorders>
              <w:top w:val="nil"/>
              <w:left w:val="nil"/>
              <w:bottom w:val="single" w:color="auto" w:sz="4" w:space="0"/>
              <w:right w:val="single" w:color="auto" w:sz="4" w:space="0"/>
            </w:tcBorders>
            <w:noWrap/>
            <w:vAlign w:val="center"/>
          </w:tcPr>
          <w:p w14:paraId="77003A7F">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3560" w:type="dxa"/>
            <w:tcBorders>
              <w:top w:val="nil"/>
              <w:left w:val="nil"/>
              <w:bottom w:val="single" w:color="auto" w:sz="4" w:space="0"/>
              <w:right w:val="single" w:color="auto" w:sz="4" w:space="0"/>
            </w:tcBorders>
            <w:vAlign w:val="center"/>
          </w:tcPr>
          <w:p w14:paraId="4A6884B2">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rPr>
            </w:pPr>
            <w:r>
              <w:rPr>
                <w:rFonts w:hint="eastAsia" w:ascii="宋体" w:hAnsi="宋体" w:eastAsia="宋体" w:cs="宋体"/>
                <w:color w:val="auto"/>
                <w:sz w:val="21"/>
                <w:szCs w:val="21"/>
              </w:rPr>
              <w:t>模拟巷道</w:t>
            </w:r>
          </w:p>
        </w:tc>
        <w:tc>
          <w:tcPr>
            <w:tcW w:w="1600" w:type="dxa"/>
            <w:tcBorders>
              <w:top w:val="nil"/>
              <w:left w:val="nil"/>
              <w:bottom w:val="single" w:color="auto" w:sz="4" w:space="0"/>
              <w:right w:val="single" w:color="auto" w:sz="4" w:space="0"/>
            </w:tcBorders>
            <w:vAlign w:val="center"/>
          </w:tcPr>
          <w:p w14:paraId="6311080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 xml:space="preserve"> </w:t>
            </w:r>
          </w:p>
        </w:tc>
        <w:tc>
          <w:tcPr>
            <w:tcW w:w="700" w:type="dxa"/>
            <w:tcBorders>
              <w:top w:val="nil"/>
              <w:left w:val="nil"/>
              <w:bottom w:val="single" w:color="auto" w:sz="4" w:space="0"/>
              <w:right w:val="single" w:color="auto" w:sz="4" w:space="0"/>
            </w:tcBorders>
            <w:vAlign w:val="center"/>
          </w:tcPr>
          <w:p w14:paraId="5F6403C3">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套</w:t>
            </w:r>
          </w:p>
        </w:tc>
        <w:tc>
          <w:tcPr>
            <w:tcW w:w="700" w:type="dxa"/>
            <w:tcBorders>
              <w:top w:val="nil"/>
              <w:left w:val="nil"/>
              <w:bottom w:val="single" w:color="auto" w:sz="4" w:space="0"/>
              <w:right w:val="single" w:color="auto" w:sz="4" w:space="0"/>
            </w:tcBorders>
            <w:vAlign w:val="center"/>
          </w:tcPr>
          <w:p w14:paraId="045FFF83">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r>
      <w:tr w14:paraId="514F5453">
        <w:tblPrEx>
          <w:tblCellMar>
            <w:top w:w="0" w:type="dxa"/>
            <w:left w:w="108" w:type="dxa"/>
            <w:bottom w:w="0" w:type="dxa"/>
            <w:right w:w="108" w:type="dxa"/>
          </w:tblCellMar>
        </w:tblPrEx>
        <w:trPr>
          <w:trHeight w:val="420" w:hRule="atLeast"/>
        </w:trPr>
        <w:tc>
          <w:tcPr>
            <w:tcW w:w="1060" w:type="dxa"/>
            <w:vMerge w:val="continue"/>
            <w:tcBorders>
              <w:left w:val="single" w:color="auto" w:sz="4" w:space="0"/>
              <w:right w:val="single" w:color="auto" w:sz="4" w:space="0"/>
            </w:tcBorders>
            <w:vAlign w:val="center"/>
          </w:tcPr>
          <w:p w14:paraId="731911C0">
            <w:pPr>
              <w:keepNext w:val="0"/>
              <w:keepLines w:val="0"/>
              <w:pageBreakBefore w:val="0"/>
              <w:widowControl w:val="0"/>
              <w:kinsoku/>
              <w:wordWrap/>
              <w:overflowPunct/>
              <w:topLinePunct w:val="0"/>
              <w:autoSpaceDE w:val="0"/>
              <w:autoSpaceDN w:val="0"/>
              <w:bidi w:val="0"/>
              <w:jc w:val="left"/>
              <w:rPr>
                <w:rFonts w:hint="eastAsia" w:ascii="宋体" w:hAnsi="宋体" w:eastAsia="宋体" w:cs="宋体"/>
                <w:b/>
                <w:bCs/>
                <w:color w:val="auto"/>
                <w:sz w:val="21"/>
                <w:szCs w:val="21"/>
              </w:rPr>
            </w:pPr>
          </w:p>
        </w:tc>
        <w:tc>
          <w:tcPr>
            <w:tcW w:w="780" w:type="dxa"/>
            <w:tcBorders>
              <w:top w:val="nil"/>
              <w:left w:val="nil"/>
              <w:bottom w:val="single" w:color="auto" w:sz="4" w:space="0"/>
              <w:right w:val="single" w:color="auto" w:sz="4" w:space="0"/>
            </w:tcBorders>
            <w:noWrap/>
            <w:vAlign w:val="center"/>
          </w:tcPr>
          <w:p w14:paraId="7A1BA218">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3560" w:type="dxa"/>
            <w:tcBorders>
              <w:top w:val="nil"/>
              <w:left w:val="nil"/>
              <w:bottom w:val="single" w:color="auto" w:sz="4" w:space="0"/>
              <w:right w:val="single" w:color="auto" w:sz="4" w:space="0"/>
            </w:tcBorders>
            <w:vAlign w:val="center"/>
          </w:tcPr>
          <w:p w14:paraId="3CDBD3DD">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rPr>
            </w:pPr>
            <w:r>
              <w:rPr>
                <w:rFonts w:hint="eastAsia" w:ascii="宋体" w:hAnsi="宋体" w:eastAsia="宋体" w:cs="宋体"/>
                <w:color w:val="auto"/>
                <w:sz w:val="21"/>
                <w:szCs w:val="21"/>
              </w:rPr>
              <w:t>温度计</w:t>
            </w:r>
          </w:p>
        </w:tc>
        <w:tc>
          <w:tcPr>
            <w:tcW w:w="1600" w:type="dxa"/>
            <w:tcBorders>
              <w:top w:val="nil"/>
              <w:left w:val="nil"/>
              <w:bottom w:val="single" w:color="auto" w:sz="4" w:space="0"/>
              <w:right w:val="single" w:color="auto" w:sz="4" w:space="0"/>
            </w:tcBorders>
            <w:vAlign w:val="center"/>
          </w:tcPr>
          <w:p w14:paraId="72E42758">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量程0～60℃</w:t>
            </w:r>
          </w:p>
        </w:tc>
        <w:tc>
          <w:tcPr>
            <w:tcW w:w="700" w:type="dxa"/>
            <w:tcBorders>
              <w:top w:val="nil"/>
              <w:left w:val="nil"/>
              <w:bottom w:val="single" w:color="auto" w:sz="4" w:space="0"/>
              <w:right w:val="single" w:color="auto" w:sz="4" w:space="0"/>
            </w:tcBorders>
            <w:vAlign w:val="center"/>
          </w:tcPr>
          <w:p w14:paraId="1DFAFDDE">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支</w:t>
            </w:r>
          </w:p>
        </w:tc>
        <w:tc>
          <w:tcPr>
            <w:tcW w:w="700" w:type="dxa"/>
            <w:tcBorders>
              <w:top w:val="nil"/>
              <w:left w:val="nil"/>
              <w:bottom w:val="single" w:color="auto" w:sz="4" w:space="0"/>
              <w:right w:val="single" w:color="auto" w:sz="4" w:space="0"/>
            </w:tcBorders>
            <w:vAlign w:val="center"/>
          </w:tcPr>
          <w:p w14:paraId="0580D7AD">
            <w:pPr>
              <w:keepNext w:val="0"/>
              <w:keepLines w:val="0"/>
              <w:pageBreakBefore w:val="0"/>
              <w:widowControl w:val="0"/>
              <w:kinsoku/>
              <w:wordWrap/>
              <w:overflowPunct/>
              <w:topLinePunct w:val="0"/>
              <w:autoSpaceDE w:val="0"/>
              <w:autoSpaceDN w:val="0"/>
              <w:bidi w:val="0"/>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4</w:t>
            </w:r>
          </w:p>
        </w:tc>
      </w:tr>
      <w:tr w14:paraId="26F08EDE">
        <w:tblPrEx>
          <w:tblCellMar>
            <w:top w:w="0" w:type="dxa"/>
            <w:left w:w="108" w:type="dxa"/>
            <w:bottom w:w="0" w:type="dxa"/>
            <w:right w:w="108" w:type="dxa"/>
          </w:tblCellMar>
        </w:tblPrEx>
        <w:trPr>
          <w:trHeight w:val="420" w:hRule="atLeast"/>
        </w:trPr>
        <w:tc>
          <w:tcPr>
            <w:tcW w:w="1060" w:type="dxa"/>
            <w:vMerge w:val="continue"/>
            <w:tcBorders>
              <w:left w:val="single" w:color="auto" w:sz="4" w:space="0"/>
              <w:right w:val="single" w:color="auto" w:sz="4" w:space="0"/>
            </w:tcBorders>
            <w:vAlign w:val="center"/>
          </w:tcPr>
          <w:p w14:paraId="5D39757C">
            <w:pPr>
              <w:keepNext w:val="0"/>
              <w:keepLines w:val="0"/>
              <w:pageBreakBefore w:val="0"/>
              <w:widowControl w:val="0"/>
              <w:kinsoku/>
              <w:wordWrap/>
              <w:overflowPunct/>
              <w:topLinePunct w:val="0"/>
              <w:autoSpaceDE w:val="0"/>
              <w:autoSpaceDN w:val="0"/>
              <w:bidi w:val="0"/>
              <w:jc w:val="left"/>
              <w:rPr>
                <w:rFonts w:hint="eastAsia" w:ascii="宋体" w:hAnsi="宋体" w:eastAsia="宋体" w:cs="宋体"/>
                <w:b/>
                <w:bCs/>
                <w:color w:val="auto"/>
                <w:sz w:val="21"/>
                <w:szCs w:val="21"/>
              </w:rPr>
            </w:pPr>
          </w:p>
        </w:tc>
        <w:tc>
          <w:tcPr>
            <w:tcW w:w="780" w:type="dxa"/>
            <w:tcBorders>
              <w:top w:val="nil"/>
              <w:left w:val="nil"/>
              <w:bottom w:val="single" w:color="auto" w:sz="4" w:space="0"/>
              <w:right w:val="single" w:color="auto" w:sz="4" w:space="0"/>
            </w:tcBorders>
            <w:noWrap/>
            <w:vAlign w:val="center"/>
          </w:tcPr>
          <w:p w14:paraId="42A8D5A9">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3560" w:type="dxa"/>
            <w:tcBorders>
              <w:top w:val="nil"/>
              <w:left w:val="nil"/>
              <w:bottom w:val="single" w:color="auto" w:sz="4" w:space="0"/>
              <w:right w:val="single" w:color="auto" w:sz="4" w:space="0"/>
            </w:tcBorders>
            <w:vAlign w:val="center"/>
          </w:tcPr>
          <w:p w14:paraId="7189D6B7">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rPr>
            </w:pPr>
            <w:r>
              <w:rPr>
                <w:rFonts w:hint="eastAsia" w:ascii="宋体" w:hAnsi="宋体" w:eastAsia="宋体" w:cs="宋体"/>
                <w:color w:val="auto"/>
                <w:sz w:val="21"/>
                <w:szCs w:val="21"/>
              </w:rPr>
              <w:t>秒表</w:t>
            </w:r>
          </w:p>
        </w:tc>
        <w:tc>
          <w:tcPr>
            <w:tcW w:w="1600" w:type="dxa"/>
            <w:tcBorders>
              <w:top w:val="nil"/>
              <w:left w:val="nil"/>
              <w:bottom w:val="single" w:color="auto" w:sz="4" w:space="0"/>
              <w:right w:val="single" w:color="auto" w:sz="4" w:space="0"/>
            </w:tcBorders>
            <w:vAlign w:val="center"/>
          </w:tcPr>
          <w:p w14:paraId="7343BFB0">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卡西欧</w:t>
            </w:r>
          </w:p>
        </w:tc>
        <w:tc>
          <w:tcPr>
            <w:tcW w:w="700" w:type="dxa"/>
            <w:tcBorders>
              <w:top w:val="nil"/>
              <w:left w:val="nil"/>
              <w:bottom w:val="single" w:color="auto" w:sz="4" w:space="0"/>
              <w:right w:val="single" w:color="auto" w:sz="4" w:space="0"/>
            </w:tcBorders>
            <w:vAlign w:val="center"/>
          </w:tcPr>
          <w:p w14:paraId="5E8929CC">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个</w:t>
            </w:r>
          </w:p>
        </w:tc>
        <w:tc>
          <w:tcPr>
            <w:tcW w:w="700" w:type="dxa"/>
            <w:tcBorders>
              <w:top w:val="nil"/>
              <w:left w:val="nil"/>
              <w:bottom w:val="single" w:color="auto" w:sz="4" w:space="0"/>
              <w:right w:val="single" w:color="auto" w:sz="4" w:space="0"/>
            </w:tcBorders>
            <w:vAlign w:val="center"/>
          </w:tcPr>
          <w:p w14:paraId="64A8A3FE">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r>
      <w:tr w14:paraId="355310FF">
        <w:tblPrEx>
          <w:tblCellMar>
            <w:top w:w="0" w:type="dxa"/>
            <w:left w:w="108" w:type="dxa"/>
            <w:bottom w:w="0" w:type="dxa"/>
            <w:right w:w="108" w:type="dxa"/>
          </w:tblCellMar>
        </w:tblPrEx>
        <w:trPr>
          <w:trHeight w:val="420" w:hRule="atLeast"/>
        </w:trPr>
        <w:tc>
          <w:tcPr>
            <w:tcW w:w="1060" w:type="dxa"/>
            <w:vMerge w:val="continue"/>
            <w:tcBorders>
              <w:left w:val="single" w:color="auto" w:sz="4" w:space="0"/>
              <w:right w:val="single" w:color="auto" w:sz="4" w:space="0"/>
            </w:tcBorders>
            <w:vAlign w:val="center"/>
          </w:tcPr>
          <w:p w14:paraId="258DD554">
            <w:pPr>
              <w:keepNext w:val="0"/>
              <w:keepLines w:val="0"/>
              <w:pageBreakBefore w:val="0"/>
              <w:widowControl w:val="0"/>
              <w:kinsoku/>
              <w:wordWrap/>
              <w:overflowPunct/>
              <w:topLinePunct w:val="0"/>
              <w:autoSpaceDE w:val="0"/>
              <w:autoSpaceDN w:val="0"/>
              <w:bidi w:val="0"/>
              <w:jc w:val="left"/>
              <w:rPr>
                <w:rFonts w:hint="eastAsia" w:ascii="宋体" w:hAnsi="宋体" w:eastAsia="宋体" w:cs="宋体"/>
                <w:b/>
                <w:bCs/>
                <w:color w:val="auto"/>
                <w:sz w:val="21"/>
                <w:szCs w:val="21"/>
              </w:rPr>
            </w:pPr>
          </w:p>
        </w:tc>
        <w:tc>
          <w:tcPr>
            <w:tcW w:w="780" w:type="dxa"/>
            <w:tcBorders>
              <w:top w:val="nil"/>
              <w:left w:val="nil"/>
              <w:bottom w:val="single" w:color="auto" w:sz="4" w:space="0"/>
              <w:right w:val="single" w:color="auto" w:sz="4" w:space="0"/>
            </w:tcBorders>
            <w:noWrap/>
            <w:vAlign w:val="center"/>
          </w:tcPr>
          <w:p w14:paraId="55ACF7DC">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3560" w:type="dxa"/>
            <w:tcBorders>
              <w:top w:val="nil"/>
              <w:left w:val="nil"/>
              <w:bottom w:val="single" w:color="auto" w:sz="4" w:space="0"/>
              <w:right w:val="single" w:color="auto" w:sz="4" w:space="0"/>
            </w:tcBorders>
            <w:vAlign w:val="center"/>
          </w:tcPr>
          <w:p w14:paraId="7FA35433">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rPr>
            </w:pPr>
            <w:r>
              <w:rPr>
                <w:rFonts w:hint="eastAsia" w:ascii="宋体" w:hAnsi="宋体" w:eastAsia="宋体" w:cs="宋体"/>
                <w:color w:val="auto"/>
                <w:sz w:val="21"/>
                <w:szCs w:val="21"/>
              </w:rPr>
              <w:t>瓦斯检查记录牌板</w:t>
            </w:r>
          </w:p>
        </w:tc>
        <w:tc>
          <w:tcPr>
            <w:tcW w:w="1600" w:type="dxa"/>
            <w:tcBorders>
              <w:top w:val="nil"/>
              <w:left w:val="nil"/>
              <w:bottom w:val="single" w:color="auto" w:sz="4" w:space="0"/>
              <w:right w:val="single" w:color="auto" w:sz="4" w:space="0"/>
            </w:tcBorders>
            <w:vAlign w:val="center"/>
          </w:tcPr>
          <w:p w14:paraId="7581C83E">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磁吸</w:t>
            </w:r>
          </w:p>
        </w:tc>
        <w:tc>
          <w:tcPr>
            <w:tcW w:w="700" w:type="dxa"/>
            <w:tcBorders>
              <w:top w:val="nil"/>
              <w:left w:val="nil"/>
              <w:bottom w:val="single" w:color="auto" w:sz="4" w:space="0"/>
              <w:right w:val="single" w:color="auto" w:sz="4" w:space="0"/>
            </w:tcBorders>
            <w:vAlign w:val="center"/>
          </w:tcPr>
          <w:p w14:paraId="04064261">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个</w:t>
            </w:r>
          </w:p>
        </w:tc>
        <w:tc>
          <w:tcPr>
            <w:tcW w:w="700" w:type="dxa"/>
            <w:tcBorders>
              <w:top w:val="nil"/>
              <w:left w:val="nil"/>
              <w:bottom w:val="single" w:color="auto" w:sz="4" w:space="0"/>
              <w:right w:val="single" w:color="auto" w:sz="4" w:space="0"/>
            </w:tcBorders>
            <w:vAlign w:val="center"/>
          </w:tcPr>
          <w:p w14:paraId="7A847218">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r>
      <w:tr w14:paraId="765601AC">
        <w:tblPrEx>
          <w:tblCellMar>
            <w:top w:w="0" w:type="dxa"/>
            <w:left w:w="108" w:type="dxa"/>
            <w:bottom w:w="0" w:type="dxa"/>
            <w:right w:w="108" w:type="dxa"/>
          </w:tblCellMar>
        </w:tblPrEx>
        <w:trPr>
          <w:trHeight w:val="420" w:hRule="atLeast"/>
        </w:trPr>
        <w:tc>
          <w:tcPr>
            <w:tcW w:w="1060" w:type="dxa"/>
            <w:vMerge w:val="continue"/>
            <w:tcBorders>
              <w:left w:val="single" w:color="auto" w:sz="4" w:space="0"/>
              <w:right w:val="single" w:color="auto" w:sz="4" w:space="0"/>
            </w:tcBorders>
            <w:vAlign w:val="center"/>
          </w:tcPr>
          <w:p w14:paraId="72E48229">
            <w:pPr>
              <w:keepNext w:val="0"/>
              <w:keepLines w:val="0"/>
              <w:pageBreakBefore w:val="0"/>
              <w:widowControl w:val="0"/>
              <w:kinsoku/>
              <w:wordWrap/>
              <w:overflowPunct/>
              <w:topLinePunct w:val="0"/>
              <w:autoSpaceDE w:val="0"/>
              <w:autoSpaceDN w:val="0"/>
              <w:bidi w:val="0"/>
              <w:jc w:val="left"/>
              <w:rPr>
                <w:rFonts w:hint="eastAsia" w:ascii="宋体" w:hAnsi="宋体" w:eastAsia="宋体" w:cs="宋体"/>
                <w:b/>
                <w:bCs/>
                <w:color w:val="auto"/>
                <w:sz w:val="21"/>
                <w:szCs w:val="21"/>
              </w:rPr>
            </w:pPr>
          </w:p>
        </w:tc>
        <w:tc>
          <w:tcPr>
            <w:tcW w:w="780" w:type="dxa"/>
            <w:tcBorders>
              <w:top w:val="nil"/>
              <w:left w:val="nil"/>
              <w:bottom w:val="single" w:color="auto" w:sz="4" w:space="0"/>
              <w:right w:val="single" w:color="auto" w:sz="4" w:space="0"/>
            </w:tcBorders>
            <w:noWrap/>
            <w:vAlign w:val="center"/>
          </w:tcPr>
          <w:p w14:paraId="1C7CAFC5">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w:t>
            </w:r>
          </w:p>
        </w:tc>
        <w:tc>
          <w:tcPr>
            <w:tcW w:w="3560" w:type="dxa"/>
            <w:tcBorders>
              <w:top w:val="nil"/>
              <w:left w:val="nil"/>
              <w:bottom w:val="single" w:color="auto" w:sz="4" w:space="0"/>
              <w:right w:val="single" w:color="auto" w:sz="4" w:space="0"/>
            </w:tcBorders>
            <w:vAlign w:val="center"/>
          </w:tcPr>
          <w:p w14:paraId="7665148E">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rPr>
            </w:pPr>
            <w:r>
              <w:rPr>
                <w:rFonts w:hint="eastAsia" w:ascii="宋体" w:hAnsi="宋体" w:eastAsia="宋体" w:cs="宋体"/>
                <w:color w:val="auto"/>
                <w:sz w:val="21"/>
                <w:szCs w:val="21"/>
              </w:rPr>
              <w:t>一氧化碳检测管</w:t>
            </w:r>
          </w:p>
        </w:tc>
        <w:tc>
          <w:tcPr>
            <w:tcW w:w="1600" w:type="dxa"/>
            <w:tcBorders>
              <w:top w:val="nil"/>
              <w:left w:val="nil"/>
              <w:bottom w:val="single" w:color="auto" w:sz="4" w:space="0"/>
              <w:right w:val="single" w:color="auto" w:sz="4" w:space="0"/>
            </w:tcBorders>
            <w:vAlign w:val="center"/>
          </w:tcPr>
          <w:p w14:paraId="4A5224E7">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I型</w:t>
            </w:r>
          </w:p>
        </w:tc>
        <w:tc>
          <w:tcPr>
            <w:tcW w:w="700" w:type="dxa"/>
            <w:tcBorders>
              <w:top w:val="nil"/>
              <w:left w:val="nil"/>
              <w:bottom w:val="single" w:color="auto" w:sz="4" w:space="0"/>
              <w:right w:val="single" w:color="auto" w:sz="4" w:space="0"/>
            </w:tcBorders>
            <w:vAlign w:val="center"/>
          </w:tcPr>
          <w:p w14:paraId="56FB680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盒</w:t>
            </w:r>
          </w:p>
        </w:tc>
        <w:tc>
          <w:tcPr>
            <w:tcW w:w="700" w:type="dxa"/>
            <w:tcBorders>
              <w:top w:val="nil"/>
              <w:left w:val="nil"/>
              <w:bottom w:val="single" w:color="auto" w:sz="4" w:space="0"/>
              <w:right w:val="single" w:color="auto" w:sz="4" w:space="0"/>
            </w:tcBorders>
            <w:vAlign w:val="center"/>
          </w:tcPr>
          <w:p w14:paraId="64CBA180">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w:t>
            </w:r>
          </w:p>
        </w:tc>
      </w:tr>
      <w:tr w14:paraId="6A04A6A8">
        <w:tblPrEx>
          <w:tblCellMar>
            <w:top w:w="0" w:type="dxa"/>
            <w:left w:w="108" w:type="dxa"/>
            <w:bottom w:w="0" w:type="dxa"/>
            <w:right w:w="108" w:type="dxa"/>
          </w:tblCellMar>
        </w:tblPrEx>
        <w:trPr>
          <w:trHeight w:val="420" w:hRule="atLeast"/>
        </w:trPr>
        <w:tc>
          <w:tcPr>
            <w:tcW w:w="1060" w:type="dxa"/>
            <w:vMerge w:val="continue"/>
            <w:tcBorders>
              <w:left w:val="single" w:color="auto" w:sz="4" w:space="0"/>
              <w:right w:val="single" w:color="auto" w:sz="4" w:space="0"/>
            </w:tcBorders>
            <w:vAlign w:val="center"/>
          </w:tcPr>
          <w:p w14:paraId="7BB61647">
            <w:pPr>
              <w:keepNext w:val="0"/>
              <w:keepLines w:val="0"/>
              <w:pageBreakBefore w:val="0"/>
              <w:widowControl w:val="0"/>
              <w:kinsoku/>
              <w:wordWrap/>
              <w:overflowPunct/>
              <w:topLinePunct w:val="0"/>
              <w:autoSpaceDE w:val="0"/>
              <w:autoSpaceDN w:val="0"/>
              <w:bidi w:val="0"/>
              <w:jc w:val="left"/>
              <w:rPr>
                <w:rFonts w:hint="eastAsia" w:ascii="宋体" w:hAnsi="宋体" w:eastAsia="宋体" w:cs="宋体"/>
                <w:b/>
                <w:bCs/>
                <w:color w:val="auto"/>
                <w:sz w:val="21"/>
                <w:szCs w:val="21"/>
              </w:rPr>
            </w:pPr>
          </w:p>
        </w:tc>
        <w:tc>
          <w:tcPr>
            <w:tcW w:w="780" w:type="dxa"/>
            <w:tcBorders>
              <w:top w:val="nil"/>
              <w:left w:val="nil"/>
              <w:bottom w:val="single" w:color="auto" w:sz="4" w:space="0"/>
              <w:right w:val="single" w:color="auto" w:sz="4" w:space="0"/>
            </w:tcBorders>
            <w:noWrap/>
            <w:vAlign w:val="center"/>
          </w:tcPr>
          <w:p w14:paraId="43314409">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w:t>
            </w:r>
          </w:p>
        </w:tc>
        <w:tc>
          <w:tcPr>
            <w:tcW w:w="3560" w:type="dxa"/>
            <w:tcBorders>
              <w:top w:val="nil"/>
              <w:left w:val="nil"/>
              <w:bottom w:val="single" w:color="auto" w:sz="4" w:space="0"/>
              <w:right w:val="single" w:color="auto" w:sz="4" w:space="0"/>
            </w:tcBorders>
            <w:vAlign w:val="center"/>
          </w:tcPr>
          <w:p w14:paraId="72D95BFF">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rPr>
            </w:pPr>
            <w:r>
              <w:rPr>
                <w:rFonts w:hint="eastAsia" w:ascii="宋体" w:hAnsi="宋体" w:eastAsia="宋体" w:cs="宋体"/>
                <w:color w:val="auto"/>
                <w:sz w:val="21"/>
                <w:szCs w:val="21"/>
              </w:rPr>
              <w:t>一氧化碳检测管</w:t>
            </w:r>
          </w:p>
        </w:tc>
        <w:tc>
          <w:tcPr>
            <w:tcW w:w="1600" w:type="dxa"/>
            <w:tcBorders>
              <w:top w:val="nil"/>
              <w:left w:val="nil"/>
              <w:bottom w:val="single" w:color="auto" w:sz="4" w:space="0"/>
              <w:right w:val="single" w:color="auto" w:sz="4" w:space="0"/>
            </w:tcBorders>
            <w:vAlign w:val="center"/>
          </w:tcPr>
          <w:p w14:paraId="7A34EF54">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II型</w:t>
            </w:r>
          </w:p>
        </w:tc>
        <w:tc>
          <w:tcPr>
            <w:tcW w:w="700" w:type="dxa"/>
            <w:tcBorders>
              <w:top w:val="nil"/>
              <w:left w:val="nil"/>
              <w:bottom w:val="single" w:color="auto" w:sz="4" w:space="0"/>
              <w:right w:val="single" w:color="auto" w:sz="4" w:space="0"/>
            </w:tcBorders>
            <w:vAlign w:val="center"/>
          </w:tcPr>
          <w:p w14:paraId="71F84776">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盒</w:t>
            </w:r>
          </w:p>
        </w:tc>
        <w:tc>
          <w:tcPr>
            <w:tcW w:w="700" w:type="dxa"/>
            <w:tcBorders>
              <w:top w:val="nil"/>
              <w:left w:val="nil"/>
              <w:bottom w:val="single" w:color="auto" w:sz="4" w:space="0"/>
              <w:right w:val="single" w:color="auto" w:sz="4" w:space="0"/>
            </w:tcBorders>
            <w:vAlign w:val="center"/>
          </w:tcPr>
          <w:p w14:paraId="29019A8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w:t>
            </w:r>
          </w:p>
        </w:tc>
      </w:tr>
      <w:tr w14:paraId="7CBB83E8">
        <w:tblPrEx>
          <w:tblCellMar>
            <w:top w:w="0" w:type="dxa"/>
            <w:left w:w="108" w:type="dxa"/>
            <w:bottom w:w="0" w:type="dxa"/>
            <w:right w:w="108" w:type="dxa"/>
          </w:tblCellMar>
        </w:tblPrEx>
        <w:trPr>
          <w:trHeight w:val="420" w:hRule="atLeast"/>
        </w:trPr>
        <w:tc>
          <w:tcPr>
            <w:tcW w:w="1060" w:type="dxa"/>
            <w:vMerge w:val="continue"/>
            <w:tcBorders>
              <w:left w:val="single" w:color="auto" w:sz="4" w:space="0"/>
              <w:right w:val="single" w:color="auto" w:sz="4" w:space="0"/>
            </w:tcBorders>
            <w:vAlign w:val="center"/>
          </w:tcPr>
          <w:p w14:paraId="68901D0F">
            <w:pPr>
              <w:keepNext w:val="0"/>
              <w:keepLines w:val="0"/>
              <w:pageBreakBefore w:val="0"/>
              <w:widowControl w:val="0"/>
              <w:kinsoku/>
              <w:wordWrap/>
              <w:overflowPunct/>
              <w:topLinePunct w:val="0"/>
              <w:autoSpaceDE w:val="0"/>
              <w:autoSpaceDN w:val="0"/>
              <w:bidi w:val="0"/>
              <w:jc w:val="left"/>
              <w:rPr>
                <w:rFonts w:hint="eastAsia" w:ascii="宋体" w:hAnsi="宋体" w:eastAsia="宋体" w:cs="宋体"/>
                <w:b/>
                <w:bCs/>
                <w:color w:val="auto"/>
                <w:sz w:val="21"/>
                <w:szCs w:val="21"/>
              </w:rPr>
            </w:pPr>
          </w:p>
        </w:tc>
        <w:tc>
          <w:tcPr>
            <w:tcW w:w="780" w:type="dxa"/>
            <w:tcBorders>
              <w:top w:val="nil"/>
              <w:left w:val="nil"/>
              <w:bottom w:val="single" w:color="auto" w:sz="4" w:space="0"/>
              <w:right w:val="single" w:color="auto" w:sz="4" w:space="0"/>
            </w:tcBorders>
            <w:noWrap/>
            <w:vAlign w:val="center"/>
          </w:tcPr>
          <w:p w14:paraId="66803FC4">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w:t>
            </w:r>
          </w:p>
        </w:tc>
        <w:tc>
          <w:tcPr>
            <w:tcW w:w="3560" w:type="dxa"/>
            <w:tcBorders>
              <w:top w:val="nil"/>
              <w:left w:val="nil"/>
              <w:bottom w:val="single" w:color="auto" w:sz="4" w:space="0"/>
              <w:right w:val="single" w:color="auto" w:sz="4" w:space="0"/>
            </w:tcBorders>
            <w:vAlign w:val="center"/>
          </w:tcPr>
          <w:p w14:paraId="4E9C2113">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rPr>
            </w:pPr>
            <w:r>
              <w:rPr>
                <w:rFonts w:hint="eastAsia" w:ascii="宋体" w:hAnsi="宋体" w:eastAsia="宋体" w:cs="宋体"/>
                <w:color w:val="auto"/>
                <w:sz w:val="21"/>
                <w:szCs w:val="21"/>
              </w:rPr>
              <w:t>一氧化碳检测管</w:t>
            </w:r>
          </w:p>
        </w:tc>
        <w:tc>
          <w:tcPr>
            <w:tcW w:w="1600" w:type="dxa"/>
            <w:tcBorders>
              <w:top w:val="nil"/>
              <w:left w:val="nil"/>
              <w:bottom w:val="single" w:color="auto" w:sz="4" w:space="0"/>
              <w:right w:val="single" w:color="auto" w:sz="4" w:space="0"/>
            </w:tcBorders>
            <w:vAlign w:val="center"/>
          </w:tcPr>
          <w:p w14:paraId="130A8E50">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III型</w:t>
            </w:r>
          </w:p>
        </w:tc>
        <w:tc>
          <w:tcPr>
            <w:tcW w:w="700" w:type="dxa"/>
            <w:tcBorders>
              <w:top w:val="nil"/>
              <w:left w:val="nil"/>
              <w:bottom w:val="single" w:color="auto" w:sz="4" w:space="0"/>
              <w:right w:val="single" w:color="auto" w:sz="4" w:space="0"/>
            </w:tcBorders>
            <w:vAlign w:val="center"/>
          </w:tcPr>
          <w:p w14:paraId="6C08B114">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盒</w:t>
            </w:r>
          </w:p>
        </w:tc>
        <w:tc>
          <w:tcPr>
            <w:tcW w:w="700" w:type="dxa"/>
            <w:tcBorders>
              <w:top w:val="nil"/>
              <w:left w:val="nil"/>
              <w:bottom w:val="single" w:color="auto" w:sz="4" w:space="0"/>
              <w:right w:val="single" w:color="auto" w:sz="4" w:space="0"/>
            </w:tcBorders>
            <w:vAlign w:val="center"/>
          </w:tcPr>
          <w:p w14:paraId="57969A33">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w:t>
            </w:r>
          </w:p>
        </w:tc>
      </w:tr>
      <w:tr w14:paraId="623CE736">
        <w:tblPrEx>
          <w:tblCellMar>
            <w:top w:w="0" w:type="dxa"/>
            <w:left w:w="108" w:type="dxa"/>
            <w:bottom w:w="0" w:type="dxa"/>
            <w:right w:w="108" w:type="dxa"/>
          </w:tblCellMar>
        </w:tblPrEx>
        <w:trPr>
          <w:trHeight w:val="420" w:hRule="atLeast"/>
        </w:trPr>
        <w:tc>
          <w:tcPr>
            <w:tcW w:w="1060" w:type="dxa"/>
            <w:vMerge w:val="continue"/>
            <w:tcBorders>
              <w:left w:val="single" w:color="auto" w:sz="4" w:space="0"/>
              <w:right w:val="single" w:color="auto" w:sz="4" w:space="0"/>
            </w:tcBorders>
            <w:vAlign w:val="center"/>
          </w:tcPr>
          <w:p w14:paraId="4D51D5D1">
            <w:pPr>
              <w:keepNext w:val="0"/>
              <w:keepLines w:val="0"/>
              <w:pageBreakBefore w:val="0"/>
              <w:widowControl w:val="0"/>
              <w:kinsoku/>
              <w:wordWrap/>
              <w:overflowPunct/>
              <w:topLinePunct w:val="0"/>
              <w:autoSpaceDE w:val="0"/>
              <w:autoSpaceDN w:val="0"/>
              <w:bidi w:val="0"/>
              <w:jc w:val="left"/>
              <w:rPr>
                <w:rFonts w:hint="eastAsia" w:ascii="宋体" w:hAnsi="宋体" w:eastAsia="宋体" w:cs="宋体"/>
                <w:b/>
                <w:bCs/>
                <w:color w:val="auto"/>
                <w:sz w:val="21"/>
                <w:szCs w:val="21"/>
              </w:rPr>
            </w:pPr>
          </w:p>
        </w:tc>
        <w:tc>
          <w:tcPr>
            <w:tcW w:w="780" w:type="dxa"/>
            <w:tcBorders>
              <w:top w:val="nil"/>
              <w:left w:val="nil"/>
              <w:bottom w:val="single" w:color="auto" w:sz="4" w:space="0"/>
              <w:right w:val="single" w:color="auto" w:sz="4" w:space="0"/>
            </w:tcBorders>
            <w:noWrap/>
            <w:vAlign w:val="center"/>
          </w:tcPr>
          <w:p w14:paraId="11205A97">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w:t>
            </w:r>
          </w:p>
        </w:tc>
        <w:tc>
          <w:tcPr>
            <w:tcW w:w="3560" w:type="dxa"/>
            <w:tcBorders>
              <w:top w:val="nil"/>
              <w:left w:val="nil"/>
              <w:bottom w:val="single" w:color="auto" w:sz="4" w:space="0"/>
              <w:right w:val="single" w:color="auto" w:sz="4" w:space="0"/>
            </w:tcBorders>
            <w:vAlign w:val="center"/>
          </w:tcPr>
          <w:p w14:paraId="0F1A8BAA">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rPr>
            </w:pPr>
            <w:r>
              <w:rPr>
                <w:rFonts w:hint="eastAsia" w:ascii="宋体" w:hAnsi="宋体" w:eastAsia="宋体" w:cs="宋体"/>
                <w:color w:val="auto"/>
                <w:sz w:val="21"/>
                <w:szCs w:val="21"/>
              </w:rPr>
              <w:t>采样器</w:t>
            </w:r>
          </w:p>
        </w:tc>
        <w:tc>
          <w:tcPr>
            <w:tcW w:w="1600" w:type="dxa"/>
            <w:tcBorders>
              <w:top w:val="nil"/>
              <w:left w:val="nil"/>
              <w:bottom w:val="single" w:color="auto" w:sz="4" w:space="0"/>
              <w:right w:val="single" w:color="auto" w:sz="4" w:space="0"/>
            </w:tcBorders>
            <w:vAlign w:val="center"/>
          </w:tcPr>
          <w:p w14:paraId="5F14D72C">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CZY50</w:t>
            </w:r>
          </w:p>
        </w:tc>
        <w:tc>
          <w:tcPr>
            <w:tcW w:w="700" w:type="dxa"/>
            <w:tcBorders>
              <w:top w:val="nil"/>
              <w:left w:val="nil"/>
              <w:bottom w:val="single" w:color="auto" w:sz="4" w:space="0"/>
              <w:right w:val="single" w:color="auto" w:sz="4" w:space="0"/>
            </w:tcBorders>
            <w:vAlign w:val="center"/>
          </w:tcPr>
          <w:p w14:paraId="6A2027E8">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个</w:t>
            </w:r>
          </w:p>
        </w:tc>
        <w:tc>
          <w:tcPr>
            <w:tcW w:w="700" w:type="dxa"/>
            <w:tcBorders>
              <w:top w:val="nil"/>
              <w:left w:val="nil"/>
              <w:bottom w:val="single" w:color="auto" w:sz="4" w:space="0"/>
              <w:right w:val="single" w:color="auto" w:sz="4" w:space="0"/>
            </w:tcBorders>
            <w:vAlign w:val="center"/>
          </w:tcPr>
          <w:p w14:paraId="739D15FA">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3</w:t>
            </w:r>
          </w:p>
        </w:tc>
      </w:tr>
      <w:tr w14:paraId="751EF39E">
        <w:tblPrEx>
          <w:tblCellMar>
            <w:top w:w="0" w:type="dxa"/>
            <w:left w:w="108" w:type="dxa"/>
            <w:bottom w:w="0" w:type="dxa"/>
            <w:right w:w="108" w:type="dxa"/>
          </w:tblCellMar>
        </w:tblPrEx>
        <w:trPr>
          <w:trHeight w:val="420" w:hRule="atLeast"/>
        </w:trPr>
        <w:tc>
          <w:tcPr>
            <w:tcW w:w="1060" w:type="dxa"/>
            <w:vMerge w:val="continue"/>
            <w:tcBorders>
              <w:left w:val="single" w:color="auto" w:sz="4" w:space="0"/>
              <w:right w:val="single" w:color="auto" w:sz="4" w:space="0"/>
            </w:tcBorders>
            <w:vAlign w:val="center"/>
          </w:tcPr>
          <w:p w14:paraId="7CC38EE3">
            <w:pPr>
              <w:keepNext w:val="0"/>
              <w:keepLines w:val="0"/>
              <w:pageBreakBefore w:val="0"/>
              <w:widowControl w:val="0"/>
              <w:kinsoku/>
              <w:wordWrap/>
              <w:overflowPunct/>
              <w:topLinePunct w:val="0"/>
              <w:autoSpaceDE w:val="0"/>
              <w:autoSpaceDN w:val="0"/>
              <w:bidi w:val="0"/>
              <w:jc w:val="left"/>
              <w:rPr>
                <w:rFonts w:hint="eastAsia" w:ascii="宋体" w:hAnsi="宋体" w:eastAsia="宋体" w:cs="宋体"/>
                <w:b/>
                <w:bCs/>
                <w:color w:val="auto"/>
                <w:sz w:val="21"/>
                <w:szCs w:val="21"/>
              </w:rPr>
            </w:pPr>
          </w:p>
        </w:tc>
        <w:tc>
          <w:tcPr>
            <w:tcW w:w="780" w:type="dxa"/>
            <w:tcBorders>
              <w:top w:val="nil"/>
              <w:left w:val="nil"/>
              <w:bottom w:val="single" w:color="auto" w:sz="4" w:space="0"/>
              <w:right w:val="single" w:color="auto" w:sz="4" w:space="0"/>
            </w:tcBorders>
            <w:noWrap/>
            <w:vAlign w:val="center"/>
          </w:tcPr>
          <w:p w14:paraId="61C40391">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11</w:t>
            </w:r>
          </w:p>
        </w:tc>
        <w:tc>
          <w:tcPr>
            <w:tcW w:w="3560" w:type="dxa"/>
            <w:tcBorders>
              <w:top w:val="nil"/>
              <w:left w:val="nil"/>
              <w:bottom w:val="single" w:color="auto" w:sz="4" w:space="0"/>
              <w:right w:val="single" w:color="auto" w:sz="4" w:space="0"/>
            </w:tcBorders>
            <w:vAlign w:val="center"/>
          </w:tcPr>
          <w:p w14:paraId="71F166FD">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rPr>
            </w:pPr>
            <w:r>
              <w:rPr>
                <w:rFonts w:hint="eastAsia" w:ascii="宋体" w:hAnsi="宋体" w:eastAsia="宋体" w:cs="宋体"/>
                <w:color w:val="auto"/>
                <w:sz w:val="21"/>
                <w:szCs w:val="21"/>
              </w:rPr>
              <w:t>瓦斯检查杖</w:t>
            </w:r>
          </w:p>
        </w:tc>
        <w:tc>
          <w:tcPr>
            <w:tcW w:w="1600" w:type="dxa"/>
            <w:tcBorders>
              <w:top w:val="nil"/>
              <w:left w:val="nil"/>
              <w:bottom w:val="single" w:color="auto" w:sz="4" w:space="0"/>
              <w:right w:val="single" w:color="auto" w:sz="4" w:space="0"/>
            </w:tcBorders>
            <w:vAlign w:val="center"/>
          </w:tcPr>
          <w:p w14:paraId="487CA0EA">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JDWH-20</w:t>
            </w:r>
          </w:p>
        </w:tc>
        <w:tc>
          <w:tcPr>
            <w:tcW w:w="700" w:type="dxa"/>
            <w:tcBorders>
              <w:top w:val="nil"/>
              <w:left w:val="nil"/>
              <w:bottom w:val="single" w:color="auto" w:sz="4" w:space="0"/>
              <w:right w:val="single" w:color="auto" w:sz="4" w:space="0"/>
            </w:tcBorders>
            <w:vAlign w:val="center"/>
          </w:tcPr>
          <w:p w14:paraId="60BF2E64">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个</w:t>
            </w:r>
          </w:p>
        </w:tc>
        <w:tc>
          <w:tcPr>
            <w:tcW w:w="700" w:type="dxa"/>
            <w:tcBorders>
              <w:top w:val="nil"/>
              <w:left w:val="nil"/>
              <w:bottom w:val="single" w:color="auto" w:sz="4" w:space="0"/>
              <w:right w:val="single" w:color="auto" w:sz="4" w:space="0"/>
            </w:tcBorders>
            <w:vAlign w:val="center"/>
          </w:tcPr>
          <w:p w14:paraId="34121871">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4</w:t>
            </w:r>
          </w:p>
        </w:tc>
      </w:tr>
      <w:tr w14:paraId="3CB8F063">
        <w:tblPrEx>
          <w:tblCellMar>
            <w:top w:w="0" w:type="dxa"/>
            <w:left w:w="108" w:type="dxa"/>
            <w:bottom w:w="0" w:type="dxa"/>
            <w:right w:w="108" w:type="dxa"/>
          </w:tblCellMar>
        </w:tblPrEx>
        <w:trPr>
          <w:trHeight w:val="420" w:hRule="atLeast"/>
        </w:trPr>
        <w:tc>
          <w:tcPr>
            <w:tcW w:w="1060" w:type="dxa"/>
            <w:vMerge w:val="continue"/>
            <w:tcBorders>
              <w:left w:val="single" w:color="auto" w:sz="4" w:space="0"/>
              <w:right w:val="single" w:color="auto" w:sz="4" w:space="0"/>
            </w:tcBorders>
            <w:vAlign w:val="center"/>
          </w:tcPr>
          <w:p w14:paraId="3A4EECAE">
            <w:pPr>
              <w:keepNext w:val="0"/>
              <w:keepLines w:val="0"/>
              <w:pageBreakBefore w:val="0"/>
              <w:widowControl w:val="0"/>
              <w:kinsoku/>
              <w:wordWrap/>
              <w:overflowPunct/>
              <w:topLinePunct w:val="0"/>
              <w:autoSpaceDE w:val="0"/>
              <w:autoSpaceDN w:val="0"/>
              <w:bidi w:val="0"/>
              <w:jc w:val="left"/>
              <w:rPr>
                <w:rFonts w:hint="eastAsia" w:ascii="宋体" w:hAnsi="宋体" w:eastAsia="宋体" w:cs="宋体"/>
                <w:b/>
                <w:bCs/>
                <w:color w:val="auto"/>
                <w:sz w:val="21"/>
                <w:szCs w:val="21"/>
              </w:rPr>
            </w:pPr>
          </w:p>
        </w:tc>
        <w:tc>
          <w:tcPr>
            <w:tcW w:w="780" w:type="dxa"/>
            <w:tcBorders>
              <w:top w:val="nil"/>
              <w:left w:val="nil"/>
              <w:bottom w:val="single" w:color="auto" w:sz="4" w:space="0"/>
              <w:right w:val="single" w:color="auto" w:sz="4" w:space="0"/>
            </w:tcBorders>
            <w:noWrap/>
            <w:vAlign w:val="center"/>
          </w:tcPr>
          <w:p w14:paraId="43CB019B">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w:t>
            </w:r>
          </w:p>
        </w:tc>
        <w:tc>
          <w:tcPr>
            <w:tcW w:w="3560" w:type="dxa"/>
            <w:tcBorders>
              <w:top w:val="nil"/>
              <w:left w:val="nil"/>
              <w:bottom w:val="single" w:color="auto" w:sz="4" w:space="0"/>
              <w:right w:val="single" w:color="auto" w:sz="4" w:space="0"/>
            </w:tcBorders>
            <w:vAlign w:val="center"/>
          </w:tcPr>
          <w:p w14:paraId="6C179616">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rPr>
            </w:pPr>
            <w:r>
              <w:rPr>
                <w:rFonts w:hint="eastAsia" w:ascii="宋体" w:hAnsi="宋体" w:eastAsia="宋体" w:cs="宋体"/>
                <w:color w:val="auto"/>
                <w:sz w:val="21"/>
                <w:szCs w:val="21"/>
              </w:rPr>
              <w:t>隔绝式压缩氧气自救器</w:t>
            </w:r>
          </w:p>
        </w:tc>
        <w:tc>
          <w:tcPr>
            <w:tcW w:w="1600" w:type="dxa"/>
            <w:tcBorders>
              <w:top w:val="nil"/>
              <w:left w:val="nil"/>
              <w:bottom w:val="single" w:color="auto" w:sz="4" w:space="0"/>
              <w:right w:val="single" w:color="auto" w:sz="4" w:space="0"/>
            </w:tcBorders>
            <w:vAlign w:val="center"/>
          </w:tcPr>
          <w:p w14:paraId="71689428">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ZYX45 (E)</w:t>
            </w:r>
          </w:p>
        </w:tc>
        <w:tc>
          <w:tcPr>
            <w:tcW w:w="700" w:type="dxa"/>
            <w:tcBorders>
              <w:top w:val="nil"/>
              <w:left w:val="nil"/>
              <w:bottom w:val="single" w:color="auto" w:sz="4" w:space="0"/>
              <w:right w:val="single" w:color="auto" w:sz="4" w:space="0"/>
            </w:tcBorders>
            <w:vAlign w:val="center"/>
          </w:tcPr>
          <w:p w14:paraId="37FE9D15">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台</w:t>
            </w:r>
          </w:p>
        </w:tc>
        <w:tc>
          <w:tcPr>
            <w:tcW w:w="700" w:type="dxa"/>
            <w:tcBorders>
              <w:top w:val="nil"/>
              <w:left w:val="nil"/>
              <w:bottom w:val="single" w:color="auto" w:sz="4" w:space="0"/>
              <w:right w:val="single" w:color="auto" w:sz="4" w:space="0"/>
            </w:tcBorders>
            <w:vAlign w:val="center"/>
          </w:tcPr>
          <w:p w14:paraId="2FDA7E23">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r>
      <w:tr w14:paraId="0276EF89">
        <w:tblPrEx>
          <w:tblCellMar>
            <w:top w:w="0" w:type="dxa"/>
            <w:left w:w="108" w:type="dxa"/>
            <w:bottom w:w="0" w:type="dxa"/>
            <w:right w:w="108" w:type="dxa"/>
          </w:tblCellMar>
        </w:tblPrEx>
        <w:trPr>
          <w:trHeight w:val="420" w:hRule="atLeast"/>
        </w:trPr>
        <w:tc>
          <w:tcPr>
            <w:tcW w:w="1060" w:type="dxa"/>
            <w:vMerge w:val="continue"/>
            <w:tcBorders>
              <w:left w:val="single" w:color="auto" w:sz="4" w:space="0"/>
              <w:right w:val="single" w:color="auto" w:sz="4" w:space="0"/>
            </w:tcBorders>
            <w:vAlign w:val="center"/>
          </w:tcPr>
          <w:p w14:paraId="04A35785">
            <w:pPr>
              <w:keepNext w:val="0"/>
              <w:keepLines w:val="0"/>
              <w:pageBreakBefore w:val="0"/>
              <w:widowControl w:val="0"/>
              <w:kinsoku/>
              <w:wordWrap/>
              <w:overflowPunct/>
              <w:topLinePunct w:val="0"/>
              <w:autoSpaceDE w:val="0"/>
              <w:autoSpaceDN w:val="0"/>
              <w:bidi w:val="0"/>
              <w:jc w:val="left"/>
              <w:rPr>
                <w:rFonts w:hint="eastAsia" w:ascii="宋体" w:hAnsi="宋体" w:eastAsia="宋体" w:cs="宋体"/>
                <w:b/>
                <w:bCs/>
                <w:color w:val="auto"/>
                <w:sz w:val="21"/>
                <w:szCs w:val="21"/>
              </w:rPr>
            </w:pPr>
          </w:p>
        </w:tc>
        <w:tc>
          <w:tcPr>
            <w:tcW w:w="780" w:type="dxa"/>
            <w:tcBorders>
              <w:top w:val="nil"/>
              <w:left w:val="nil"/>
              <w:bottom w:val="single" w:color="auto" w:sz="4" w:space="0"/>
              <w:right w:val="single" w:color="auto" w:sz="4" w:space="0"/>
            </w:tcBorders>
            <w:noWrap/>
            <w:vAlign w:val="center"/>
          </w:tcPr>
          <w:p w14:paraId="50C06CD7">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13</w:t>
            </w:r>
          </w:p>
        </w:tc>
        <w:tc>
          <w:tcPr>
            <w:tcW w:w="3560" w:type="dxa"/>
            <w:tcBorders>
              <w:top w:val="nil"/>
              <w:left w:val="nil"/>
              <w:bottom w:val="single" w:color="auto" w:sz="4" w:space="0"/>
              <w:right w:val="single" w:color="auto" w:sz="4" w:space="0"/>
            </w:tcBorders>
            <w:vAlign w:val="center"/>
          </w:tcPr>
          <w:p w14:paraId="213576AE">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白板笔</w:t>
            </w:r>
          </w:p>
        </w:tc>
        <w:tc>
          <w:tcPr>
            <w:tcW w:w="1600" w:type="dxa"/>
            <w:tcBorders>
              <w:top w:val="nil"/>
              <w:left w:val="nil"/>
              <w:bottom w:val="single" w:color="auto" w:sz="4" w:space="0"/>
              <w:right w:val="single" w:color="auto" w:sz="4" w:space="0"/>
            </w:tcBorders>
            <w:vAlign w:val="center"/>
          </w:tcPr>
          <w:p w14:paraId="5EE3AFA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bidi="ar-SA"/>
              </w:rPr>
            </w:pPr>
          </w:p>
        </w:tc>
        <w:tc>
          <w:tcPr>
            <w:tcW w:w="700" w:type="dxa"/>
            <w:tcBorders>
              <w:top w:val="nil"/>
              <w:left w:val="nil"/>
              <w:bottom w:val="single" w:color="auto" w:sz="4" w:space="0"/>
              <w:right w:val="single" w:color="auto" w:sz="4" w:space="0"/>
            </w:tcBorders>
            <w:vAlign w:val="center"/>
          </w:tcPr>
          <w:p w14:paraId="3AED1986">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支</w:t>
            </w:r>
          </w:p>
        </w:tc>
        <w:tc>
          <w:tcPr>
            <w:tcW w:w="700" w:type="dxa"/>
            <w:tcBorders>
              <w:top w:val="nil"/>
              <w:left w:val="nil"/>
              <w:bottom w:val="single" w:color="auto" w:sz="4" w:space="0"/>
              <w:right w:val="single" w:color="auto" w:sz="4" w:space="0"/>
            </w:tcBorders>
            <w:vAlign w:val="center"/>
          </w:tcPr>
          <w:p w14:paraId="1DF09385">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r>
      <w:tr w14:paraId="3DE29757">
        <w:tblPrEx>
          <w:tblCellMar>
            <w:top w:w="0" w:type="dxa"/>
            <w:left w:w="108" w:type="dxa"/>
            <w:bottom w:w="0" w:type="dxa"/>
            <w:right w:w="108" w:type="dxa"/>
          </w:tblCellMar>
        </w:tblPrEx>
        <w:trPr>
          <w:trHeight w:val="420" w:hRule="atLeast"/>
        </w:trPr>
        <w:tc>
          <w:tcPr>
            <w:tcW w:w="1060" w:type="dxa"/>
            <w:vMerge w:val="continue"/>
            <w:tcBorders>
              <w:left w:val="single" w:color="auto" w:sz="4" w:space="0"/>
              <w:right w:val="single" w:color="auto" w:sz="4" w:space="0"/>
            </w:tcBorders>
            <w:vAlign w:val="center"/>
          </w:tcPr>
          <w:p w14:paraId="290DF6C8">
            <w:pPr>
              <w:keepNext w:val="0"/>
              <w:keepLines w:val="0"/>
              <w:pageBreakBefore w:val="0"/>
              <w:widowControl w:val="0"/>
              <w:kinsoku/>
              <w:wordWrap/>
              <w:overflowPunct/>
              <w:topLinePunct w:val="0"/>
              <w:autoSpaceDE w:val="0"/>
              <w:autoSpaceDN w:val="0"/>
              <w:bidi w:val="0"/>
              <w:jc w:val="left"/>
              <w:rPr>
                <w:rFonts w:hint="eastAsia" w:ascii="宋体" w:hAnsi="宋体" w:eastAsia="宋体" w:cs="宋体"/>
                <w:b/>
                <w:bCs/>
                <w:color w:val="auto"/>
                <w:sz w:val="21"/>
                <w:szCs w:val="21"/>
              </w:rPr>
            </w:pPr>
          </w:p>
        </w:tc>
        <w:tc>
          <w:tcPr>
            <w:tcW w:w="780" w:type="dxa"/>
            <w:tcBorders>
              <w:top w:val="nil"/>
              <w:left w:val="nil"/>
              <w:bottom w:val="single" w:color="auto" w:sz="4" w:space="0"/>
              <w:right w:val="single" w:color="auto" w:sz="4" w:space="0"/>
            </w:tcBorders>
            <w:noWrap/>
            <w:vAlign w:val="center"/>
          </w:tcPr>
          <w:p w14:paraId="6D3F84AF">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14</w:t>
            </w:r>
          </w:p>
        </w:tc>
        <w:tc>
          <w:tcPr>
            <w:tcW w:w="3560" w:type="dxa"/>
            <w:tcBorders>
              <w:top w:val="nil"/>
              <w:left w:val="nil"/>
              <w:bottom w:val="single" w:color="auto" w:sz="4" w:space="0"/>
              <w:right w:val="single" w:color="auto" w:sz="4" w:space="0"/>
            </w:tcBorders>
            <w:vAlign w:val="center"/>
          </w:tcPr>
          <w:p w14:paraId="2DDC4041">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记录手册</w:t>
            </w:r>
          </w:p>
        </w:tc>
        <w:tc>
          <w:tcPr>
            <w:tcW w:w="1600" w:type="dxa"/>
            <w:tcBorders>
              <w:top w:val="nil"/>
              <w:left w:val="nil"/>
              <w:bottom w:val="single" w:color="auto" w:sz="4" w:space="0"/>
              <w:right w:val="single" w:color="auto" w:sz="4" w:space="0"/>
            </w:tcBorders>
            <w:vAlign w:val="center"/>
          </w:tcPr>
          <w:p w14:paraId="2C000A2B">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bidi="ar-SA"/>
              </w:rPr>
            </w:pPr>
          </w:p>
        </w:tc>
        <w:tc>
          <w:tcPr>
            <w:tcW w:w="700" w:type="dxa"/>
            <w:tcBorders>
              <w:top w:val="nil"/>
              <w:left w:val="nil"/>
              <w:bottom w:val="single" w:color="auto" w:sz="4" w:space="0"/>
              <w:right w:val="single" w:color="auto" w:sz="4" w:space="0"/>
            </w:tcBorders>
            <w:vAlign w:val="center"/>
          </w:tcPr>
          <w:p w14:paraId="1FB76596">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册</w:t>
            </w:r>
          </w:p>
        </w:tc>
        <w:tc>
          <w:tcPr>
            <w:tcW w:w="700" w:type="dxa"/>
            <w:tcBorders>
              <w:top w:val="nil"/>
              <w:left w:val="nil"/>
              <w:bottom w:val="single" w:color="auto" w:sz="4" w:space="0"/>
              <w:right w:val="single" w:color="auto" w:sz="4" w:space="0"/>
            </w:tcBorders>
            <w:vAlign w:val="center"/>
          </w:tcPr>
          <w:p w14:paraId="5A0B30AE">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r>
      <w:tr w14:paraId="593A4358">
        <w:tblPrEx>
          <w:tblCellMar>
            <w:top w:w="0" w:type="dxa"/>
            <w:left w:w="108" w:type="dxa"/>
            <w:bottom w:w="0" w:type="dxa"/>
            <w:right w:w="108" w:type="dxa"/>
          </w:tblCellMar>
        </w:tblPrEx>
        <w:trPr>
          <w:trHeight w:val="420" w:hRule="atLeast"/>
        </w:trPr>
        <w:tc>
          <w:tcPr>
            <w:tcW w:w="1060" w:type="dxa"/>
            <w:vMerge w:val="continue"/>
            <w:tcBorders>
              <w:left w:val="single" w:color="auto" w:sz="4" w:space="0"/>
              <w:bottom w:val="single" w:color="auto" w:sz="4" w:space="0"/>
              <w:right w:val="single" w:color="auto" w:sz="4" w:space="0"/>
            </w:tcBorders>
            <w:vAlign w:val="center"/>
          </w:tcPr>
          <w:p w14:paraId="3C25C749">
            <w:pPr>
              <w:keepNext w:val="0"/>
              <w:keepLines w:val="0"/>
              <w:pageBreakBefore w:val="0"/>
              <w:widowControl w:val="0"/>
              <w:kinsoku/>
              <w:wordWrap/>
              <w:overflowPunct/>
              <w:topLinePunct w:val="0"/>
              <w:autoSpaceDE w:val="0"/>
              <w:autoSpaceDN w:val="0"/>
              <w:bidi w:val="0"/>
              <w:jc w:val="left"/>
              <w:rPr>
                <w:rFonts w:hint="eastAsia" w:ascii="宋体" w:hAnsi="宋体" w:eastAsia="宋体" w:cs="宋体"/>
                <w:b/>
                <w:bCs/>
                <w:color w:val="auto"/>
                <w:sz w:val="21"/>
                <w:szCs w:val="21"/>
              </w:rPr>
            </w:pPr>
          </w:p>
        </w:tc>
        <w:tc>
          <w:tcPr>
            <w:tcW w:w="780" w:type="dxa"/>
            <w:tcBorders>
              <w:top w:val="nil"/>
              <w:left w:val="nil"/>
              <w:bottom w:val="single" w:color="auto" w:sz="4" w:space="0"/>
              <w:right w:val="single" w:color="auto" w:sz="4" w:space="0"/>
            </w:tcBorders>
            <w:noWrap/>
            <w:vAlign w:val="center"/>
          </w:tcPr>
          <w:p w14:paraId="0120EB61">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15</w:t>
            </w:r>
          </w:p>
        </w:tc>
        <w:tc>
          <w:tcPr>
            <w:tcW w:w="3560" w:type="dxa"/>
            <w:tcBorders>
              <w:top w:val="nil"/>
              <w:left w:val="nil"/>
              <w:bottom w:val="single" w:color="auto" w:sz="4" w:space="0"/>
              <w:right w:val="single" w:color="auto" w:sz="4" w:space="0"/>
            </w:tcBorders>
            <w:vAlign w:val="center"/>
          </w:tcPr>
          <w:p w14:paraId="56AE39F3">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记录笔</w:t>
            </w:r>
          </w:p>
        </w:tc>
        <w:tc>
          <w:tcPr>
            <w:tcW w:w="1600" w:type="dxa"/>
            <w:tcBorders>
              <w:top w:val="nil"/>
              <w:left w:val="nil"/>
              <w:bottom w:val="single" w:color="auto" w:sz="4" w:space="0"/>
              <w:right w:val="single" w:color="auto" w:sz="4" w:space="0"/>
            </w:tcBorders>
            <w:vAlign w:val="center"/>
          </w:tcPr>
          <w:p w14:paraId="0EADBD0C">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bidi="ar-SA"/>
              </w:rPr>
            </w:pPr>
          </w:p>
        </w:tc>
        <w:tc>
          <w:tcPr>
            <w:tcW w:w="700" w:type="dxa"/>
            <w:tcBorders>
              <w:top w:val="nil"/>
              <w:left w:val="nil"/>
              <w:bottom w:val="single" w:color="auto" w:sz="4" w:space="0"/>
              <w:right w:val="single" w:color="auto" w:sz="4" w:space="0"/>
            </w:tcBorders>
            <w:vAlign w:val="center"/>
          </w:tcPr>
          <w:p w14:paraId="781C3A85">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支</w:t>
            </w:r>
          </w:p>
        </w:tc>
        <w:tc>
          <w:tcPr>
            <w:tcW w:w="700" w:type="dxa"/>
            <w:tcBorders>
              <w:top w:val="nil"/>
              <w:left w:val="nil"/>
              <w:bottom w:val="single" w:color="auto" w:sz="4" w:space="0"/>
              <w:right w:val="single" w:color="auto" w:sz="4" w:space="0"/>
            </w:tcBorders>
            <w:vAlign w:val="center"/>
          </w:tcPr>
          <w:p w14:paraId="5ED3A55A">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w:t>
            </w:r>
          </w:p>
        </w:tc>
      </w:tr>
      <w:tr w14:paraId="28486A1E">
        <w:tblPrEx>
          <w:tblCellMar>
            <w:top w:w="0" w:type="dxa"/>
            <w:left w:w="108" w:type="dxa"/>
            <w:bottom w:w="0" w:type="dxa"/>
            <w:right w:w="108" w:type="dxa"/>
          </w:tblCellMar>
        </w:tblPrEx>
        <w:trPr>
          <w:trHeight w:val="420" w:hRule="atLeast"/>
        </w:trPr>
        <w:tc>
          <w:tcPr>
            <w:tcW w:w="1060" w:type="dxa"/>
            <w:tcBorders>
              <w:top w:val="nil"/>
              <w:left w:val="single" w:color="auto" w:sz="4" w:space="0"/>
              <w:bottom w:val="single" w:color="auto" w:sz="4" w:space="0"/>
              <w:right w:val="single" w:color="auto" w:sz="4" w:space="0"/>
            </w:tcBorders>
            <w:noWrap/>
            <w:vAlign w:val="center"/>
          </w:tcPr>
          <w:p w14:paraId="39A5DCE7">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项目</w:t>
            </w:r>
          </w:p>
        </w:tc>
        <w:tc>
          <w:tcPr>
            <w:tcW w:w="780" w:type="dxa"/>
            <w:tcBorders>
              <w:top w:val="nil"/>
              <w:left w:val="nil"/>
              <w:bottom w:val="single" w:color="auto" w:sz="4" w:space="0"/>
              <w:right w:val="single" w:color="auto" w:sz="4" w:space="0"/>
            </w:tcBorders>
            <w:noWrap/>
            <w:vAlign w:val="center"/>
          </w:tcPr>
          <w:p w14:paraId="342B1D22">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序号</w:t>
            </w:r>
          </w:p>
        </w:tc>
        <w:tc>
          <w:tcPr>
            <w:tcW w:w="3560" w:type="dxa"/>
            <w:tcBorders>
              <w:top w:val="nil"/>
              <w:left w:val="nil"/>
              <w:bottom w:val="single" w:color="auto" w:sz="4" w:space="0"/>
              <w:right w:val="single" w:color="auto" w:sz="4" w:space="0"/>
            </w:tcBorders>
            <w:vAlign w:val="center"/>
          </w:tcPr>
          <w:p w14:paraId="54088D8A">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600" w:type="dxa"/>
            <w:tcBorders>
              <w:top w:val="nil"/>
              <w:left w:val="nil"/>
              <w:bottom w:val="single" w:color="auto" w:sz="4" w:space="0"/>
              <w:right w:val="single" w:color="auto" w:sz="4" w:space="0"/>
            </w:tcBorders>
            <w:vAlign w:val="center"/>
          </w:tcPr>
          <w:p w14:paraId="74127355">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型号</w:t>
            </w:r>
          </w:p>
        </w:tc>
        <w:tc>
          <w:tcPr>
            <w:tcW w:w="700" w:type="dxa"/>
            <w:tcBorders>
              <w:top w:val="nil"/>
              <w:left w:val="nil"/>
              <w:bottom w:val="single" w:color="auto" w:sz="4" w:space="0"/>
              <w:right w:val="single" w:color="auto" w:sz="4" w:space="0"/>
            </w:tcBorders>
            <w:vAlign w:val="center"/>
          </w:tcPr>
          <w:p w14:paraId="42002157">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单位</w:t>
            </w:r>
          </w:p>
        </w:tc>
        <w:tc>
          <w:tcPr>
            <w:tcW w:w="700" w:type="dxa"/>
            <w:tcBorders>
              <w:top w:val="nil"/>
              <w:left w:val="nil"/>
              <w:bottom w:val="single" w:color="auto" w:sz="4" w:space="0"/>
              <w:right w:val="single" w:color="auto" w:sz="4" w:space="0"/>
            </w:tcBorders>
            <w:vAlign w:val="center"/>
          </w:tcPr>
          <w:p w14:paraId="59893422">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数量</w:t>
            </w:r>
          </w:p>
        </w:tc>
      </w:tr>
      <w:tr w14:paraId="47C563D8">
        <w:tblPrEx>
          <w:tblCellMar>
            <w:top w:w="0" w:type="dxa"/>
            <w:left w:w="108" w:type="dxa"/>
            <w:bottom w:w="0" w:type="dxa"/>
            <w:right w:w="108" w:type="dxa"/>
          </w:tblCellMar>
        </w:tblPrEx>
        <w:trPr>
          <w:trHeight w:val="420" w:hRule="atLeast"/>
        </w:trPr>
        <w:tc>
          <w:tcPr>
            <w:tcW w:w="1060" w:type="dxa"/>
            <w:vMerge w:val="restart"/>
            <w:tcBorders>
              <w:left w:val="single" w:color="auto" w:sz="4" w:space="0"/>
              <w:right w:val="single" w:color="auto" w:sz="4" w:space="0"/>
            </w:tcBorders>
            <w:vAlign w:val="center"/>
          </w:tcPr>
          <w:p w14:paraId="09E6C44A">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竞赛备件</w:t>
            </w:r>
          </w:p>
        </w:tc>
        <w:tc>
          <w:tcPr>
            <w:tcW w:w="780" w:type="dxa"/>
            <w:tcBorders>
              <w:top w:val="nil"/>
              <w:left w:val="nil"/>
              <w:bottom w:val="single" w:color="auto" w:sz="4" w:space="0"/>
              <w:right w:val="single" w:color="auto" w:sz="4" w:space="0"/>
            </w:tcBorders>
            <w:noWrap/>
            <w:vAlign w:val="center"/>
          </w:tcPr>
          <w:p w14:paraId="50CCEC1E">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3560" w:type="dxa"/>
            <w:tcBorders>
              <w:top w:val="nil"/>
              <w:left w:val="nil"/>
              <w:bottom w:val="single" w:color="auto" w:sz="4" w:space="0"/>
              <w:right w:val="single" w:color="auto" w:sz="4" w:space="0"/>
            </w:tcBorders>
            <w:vAlign w:val="center"/>
          </w:tcPr>
          <w:p w14:paraId="76EF71DD">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rPr>
            </w:pPr>
            <w:r>
              <w:rPr>
                <w:rFonts w:hint="eastAsia" w:ascii="宋体" w:hAnsi="宋体" w:eastAsia="宋体" w:cs="宋体"/>
                <w:color w:val="auto"/>
                <w:sz w:val="21"/>
                <w:szCs w:val="21"/>
              </w:rPr>
              <w:t>隔绝式压缩氧气自救器</w:t>
            </w:r>
          </w:p>
        </w:tc>
        <w:tc>
          <w:tcPr>
            <w:tcW w:w="1600" w:type="dxa"/>
            <w:tcBorders>
              <w:top w:val="nil"/>
              <w:left w:val="nil"/>
              <w:bottom w:val="single" w:color="auto" w:sz="4" w:space="0"/>
              <w:right w:val="single" w:color="auto" w:sz="4" w:space="0"/>
            </w:tcBorders>
            <w:vAlign w:val="center"/>
          </w:tcPr>
          <w:p w14:paraId="4ADA797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ZYX45 (E)</w:t>
            </w:r>
          </w:p>
        </w:tc>
        <w:tc>
          <w:tcPr>
            <w:tcW w:w="700" w:type="dxa"/>
            <w:tcBorders>
              <w:top w:val="nil"/>
              <w:left w:val="nil"/>
              <w:bottom w:val="single" w:color="auto" w:sz="4" w:space="0"/>
              <w:right w:val="single" w:color="auto" w:sz="4" w:space="0"/>
            </w:tcBorders>
            <w:vAlign w:val="center"/>
          </w:tcPr>
          <w:p w14:paraId="27C9EE72">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台</w:t>
            </w:r>
          </w:p>
        </w:tc>
        <w:tc>
          <w:tcPr>
            <w:tcW w:w="700" w:type="dxa"/>
            <w:tcBorders>
              <w:top w:val="nil"/>
              <w:left w:val="nil"/>
              <w:bottom w:val="single" w:color="auto" w:sz="4" w:space="0"/>
              <w:right w:val="single" w:color="auto" w:sz="4" w:space="0"/>
            </w:tcBorders>
            <w:vAlign w:val="center"/>
          </w:tcPr>
          <w:p w14:paraId="38536120">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r>
      <w:tr w14:paraId="67081CF4">
        <w:tblPrEx>
          <w:tblCellMar>
            <w:top w:w="0" w:type="dxa"/>
            <w:left w:w="108" w:type="dxa"/>
            <w:bottom w:w="0" w:type="dxa"/>
            <w:right w:w="108" w:type="dxa"/>
          </w:tblCellMar>
        </w:tblPrEx>
        <w:trPr>
          <w:trHeight w:val="420" w:hRule="atLeast"/>
        </w:trPr>
        <w:tc>
          <w:tcPr>
            <w:tcW w:w="1060" w:type="dxa"/>
            <w:vMerge w:val="continue"/>
            <w:tcBorders>
              <w:left w:val="single" w:color="auto" w:sz="4" w:space="0"/>
              <w:right w:val="single" w:color="auto" w:sz="4" w:space="0"/>
            </w:tcBorders>
            <w:vAlign w:val="center"/>
          </w:tcPr>
          <w:p w14:paraId="2949E28C">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rPr>
            </w:pPr>
          </w:p>
        </w:tc>
        <w:tc>
          <w:tcPr>
            <w:tcW w:w="780" w:type="dxa"/>
            <w:tcBorders>
              <w:top w:val="nil"/>
              <w:left w:val="nil"/>
              <w:bottom w:val="single" w:color="auto" w:sz="4" w:space="0"/>
              <w:right w:val="single" w:color="auto" w:sz="4" w:space="0"/>
            </w:tcBorders>
            <w:noWrap/>
            <w:vAlign w:val="center"/>
          </w:tcPr>
          <w:p w14:paraId="3D46C3C3">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3560" w:type="dxa"/>
            <w:tcBorders>
              <w:top w:val="nil"/>
              <w:left w:val="nil"/>
              <w:bottom w:val="single" w:color="auto" w:sz="4" w:space="0"/>
              <w:right w:val="single" w:color="auto" w:sz="4" w:space="0"/>
            </w:tcBorders>
            <w:vAlign w:val="center"/>
          </w:tcPr>
          <w:p w14:paraId="1A5BF975">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rPr>
            </w:pPr>
            <w:r>
              <w:rPr>
                <w:rFonts w:hint="eastAsia" w:ascii="宋体" w:hAnsi="宋体" w:eastAsia="宋体" w:cs="宋体"/>
                <w:color w:val="auto"/>
                <w:sz w:val="21"/>
                <w:szCs w:val="21"/>
              </w:rPr>
              <w:t>硅胶</w:t>
            </w:r>
          </w:p>
        </w:tc>
        <w:tc>
          <w:tcPr>
            <w:tcW w:w="1600" w:type="dxa"/>
            <w:tcBorders>
              <w:top w:val="nil"/>
              <w:left w:val="nil"/>
              <w:bottom w:val="single" w:color="auto" w:sz="4" w:space="0"/>
              <w:right w:val="single" w:color="auto" w:sz="4" w:space="0"/>
            </w:tcBorders>
            <w:vAlign w:val="center"/>
          </w:tcPr>
          <w:p w14:paraId="1F7A29CA">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1斤</w:t>
            </w:r>
          </w:p>
        </w:tc>
        <w:tc>
          <w:tcPr>
            <w:tcW w:w="700" w:type="dxa"/>
            <w:tcBorders>
              <w:top w:val="nil"/>
              <w:left w:val="nil"/>
              <w:bottom w:val="single" w:color="auto" w:sz="4" w:space="0"/>
              <w:right w:val="single" w:color="auto" w:sz="4" w:space="0"/>
            </w:tcBorders>
            <w:vAlign w:val="center"/>
          </w:tcPr>
          <w:p w14:paraId="4CC10028">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瓶</w:t>
            </w:r>
          </w:p>
        </w:tc>
        <w:tc>
          <w:tcPr>
            <w:tcW w:w="700" w:type="dxa"/>
            <w:tcBorders>
              <w:top w:val="nil"/>
              <w:left w:val="nil"/>
              <w:bottom w:val="single" w:color="auto" w:sz="4" w:space="0"/>
              <w:right w:val="single" w:color="auto" w:sz="4" w:space="0"/>
            </w:tcBorders>
            <w:vAlign w:val="center"/>
          </w:tcPr>
          <w:p w14:paraId="1D652E52">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r>
      <w:tr w14:paraId="34FFABA8">
        <w:tblPrEx>
          <w:tblCellMar>
            <w:top w:w="0" w:type="dxa"/>
            <w:left w:w="108" w:type="dxa"/>
            <w:bottom w:w="0" w:type="dxa"/>
            <w:right w:w="108" w:type="dxa"/>
          </w:tblCellMar>
        </w:tblPrEx>
        <w:trPr>
          <w:trHeight w:val="420" w:hRule="atLeast"/>
        </w:trPr>
        <w:tc>
          <w:tcPr>
            <w:tcW w:w="1060" w:type="dxa"/>
            <w:vMerge w:val="continue"/>
            <w:tcBorders>
              <w:left w:val="single" w:color="auto" w:sz="4" w:space="0"/>
              <w:right w:val="single" w:color="auto" w:sz="4" w:space="0"/>
            </w:tcBorders>
            <w:vAlign w:val="center"/>
          </w:tcPr>
          <w:p w14:paraId="574C1A51">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rPr>
            </w:pPr>
          </w:p>
        </w:tc>
        <w:tc>
          <w:tcPr>
            <w:tcW w:w="780" w:type="dxa"/>
            <w:tcBorders>
              <w:top w:val="nil"/>
              <w:left w:val="nil"/>
              <w:bottom w:val="single" w:color="auto" w:sz="4" w:space="0"/>
              <w:right w:val="single" w:color="auto" w:sz="4" w:space="0"/>
            </w:tcBorders>
            <w:noWrap/>
            <w:vAlign w:val="center"/>
          </w:tcPr>
          <w:p w14:paraId="1351D1B7">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3560" w:type="dxa"/>
            <w:tcBorders>
              <w:top w:val="nil"/>
              <w:left w:val="nil"/>
              <w:bottom w:val="single" w:color="auto" w:sz="4" w:space="0"/>
              <w:right w:val="single" w:color="auto" w:sz="4" w:space="0"/>
            </w:tcBorders>
            <w:vAlign w:val="center"/>
          </w:tcPr>
          <w:p w14:paraId="7E68902B">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rPr>
            </w:pPr>
            <w:r>
              <w:rPr>
                <w:rFonts w:hint="eastAsia" w:ascii="宋体" w:hAnsi="宋体" w:eastAsia="宋体" w:cs="宋体"/>
                <w:color w:val="auto"/>
                <w:sz w:val="21"/>
                <w:szCs w:val="21"/>
              </w:rPr>
              <w:t>钠石灰</w:t>
            </w:r>
          </w:p>
        </w:tc>
        <w:tc>
          <w:tcPr>
            <w:tcW w:w="1600" w:type="dxa"/>
            <w:tcBorders>
              <w:top w:val="nil"/>
              <w:left w:val="nil"/>
              <w:bottom w:val="single" w:color="auto" w:sz="4" w:space="0"/>
              <w:right w:val="single" w:color="auto" w:sz="4" w:space="0"/>
            </w:tcBorders>
            <w:vAlign w:val="center"/>
          </w:tcPr>
          <w:p w14:paraId="0FB011CF">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1斤</w:t>
            </w:r>
          </w:p>
        </w:tc>
        <w:tc>
          <w:tcPr>
            <w:tcW w:w="700" w:type="dxa"/>
            <w:tcBorders>
              <w:top w:val="nil"/>
              <w:left w:val="nil"/>
              <w:bottom w:val="single" w:color="auto" w:sz="4" w:space="0"/>
              <w:right w:val="single" w:color="auto" w:sz="4" w:space="0"/>
            </w:tcBorders>
            <w:vAlign w:val="center"/>
          </w:tcPr>
          <w:p w14:paraId="3DE24CF9">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瓶</w:t>
            </w:r>
          </w:p>
        </w:tc>
        <w:tc>
          <w:tcPr>
            <w:tcW w:w="700" w:type="dxa"/>
            <w:tcBorders>
              <w:top w:val="nil"/>
              <w:left w:val="nil"/>
              <w:bottom w:val="single" w:color="auto" w:sz="4" w:space="0"/>
              <w:right w:val="single" w:color="auto" w:sz="4" w:space="0"/>
            </w:tcBorders>
            <w:vAlign w:val="center"/>
          </w:tcPr>
          <w:p w14:paraId="4A278B1C">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r>
      <w:tr w14:paraId="06875714">
        <w:tblPrEx>
          <w:tblCellMar>
            <w:top w:w="0" w:type="dxa"/>
            <w:left w:w="108" w:type="dxa"/>
            <w:bottom w:w="0" w:type="dxa"/>
            <w:right w:w="108" w:type="dxa"/>
          </w:tblCellMar>
        </w:tblPrEx>
        <w:trPr>
          <w:trHeight w:val="420" w:hRule="atLeast"/>
        </w:trPr>
        <w:tc>
          <w:tcPr>
            <w:tcW w:w="1060" w:type="dxa"/>
            <w:vMerge w:val="continue"/>
            <w:tcBorders>
              <w:left w:val="single" w:color="auto" w:sz="4" w:space="0"/>
              <w:right w:val="single" w:color="auto" w:sz="4" w:space="0"/>
            </w:tcBorders>
            <w:vAlign w:val="center"/>
          </w:tcPr>
          <w:p w14:paraId="4B904098">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rPr>
            </w:pPr>
          </w:p>
        </w:tc>
        <w:tc>
          <w:tcPr>
            <w:tcW w:w="780" w:type="dxa"/>
            <w:tcBorders>
              <w:top w:val="nil"/>
              <w:left w:val="nil"/>
              <w:bottom w:val="single" w:color="auto" w:sz="4" w:space="0"/>
              <w:right w:val="single" w:color="auto" w:sz="4" w:space="0"/>
            </w:tcBorders>
            <w:noWrap/>
            <w:vAlign w:val="center"/>
          </w:tcPr>
          <w:p w14:paraId="5C10395B">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3560" w:type="dxa"/>
            <w:tcBorders>
              <w:top w:val="nil"/>
              <w:left w:val="nil"/>
              <w:bottom w:val="single" w:color="auto" w:sz="4" w:space="0"/>
              <w:right w:val="single" w:color="auto" w:sz="4" w:space="0"/>
            </w:tcBorders>
            <w:vAlign w:val="center"/>
          </w:tcPr>
          <w:p w14:paraId="41C4F45C">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rPr>
            </w:pPr>
            <w:r>
              <w:rPr>
                <w:rFonts w:hint="eastAsia" w:ascii="宋体" w:hAnsi="宋体" w:eastAsia="宋体" w:cs="宋体"/>
                <w:color w:val="auto"/>
                <w:sz w:val="21"/>
                <w:szCs w:val="21"/>
              </w:rPr>
              <w:t>干电池</w:t>
            </w:r>
          </w:p>
        </w:tc>
        <w:tc>
          <w:tcPr>
            <w:tcW w:w="1600" w:type="dxa"/>
            <w:tcBorders>
              <w:top w:val="nil"/>
              <w:left w:val="nil"/>
              <w:bottom w:val="single" w:color="auto" w:sz="4" w:space="0"/>
              <w:right w:val="single" w:color="auto" w:sz="4" w:space="0"/>
            </w:tcBorders>
            <w:vAlign w:val="center"/>
          </w:tcPr>
          <w:p w14:paraId="4705388B">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1号</w:t>
            </w:r>
          </w:p>
        </w:tc>
        <w:tc>
          <w:tcPr>
            <w:tcW w:w="700" w:type="dxa"/>
            <w:tcBorders>
              <w:top w:val="nil"/>
              <w:left w:val="nil"/>
              <w:bottom w:val="single" w:color="auto" w:sz="4" w:space="0"/>
              <w:right w:val="single" w:color="auto" w:sz="4" w:space="0"/>
            </w:tcBorders>
            <w:vAlign w:val="center"/>
          </w:tcPr>
          <w:p w14:paraId="1FF2B183">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节</w:t>
            </w:r>
          </w:p>
        </w:tc>
        <w:tc>
          <w:tcPr>
            <w:tcW w:w="700" w:type="dxa"/>
            <w:tcBorders>
              <w:top w:val="nil"/>
              <w:left w:val="nil"/>
              <w:bottom w:val="single" w:color="auto" w:sz="4" w:space="0"/>
              <w:right w:val="single" w:color="auto" w:sz="4" w:space="0"/>
            </w:tcBorders>
            <w:vAlign w:val="center"/>
          </w:tcPr>
          <w:p w14:paraId="04F1AEF5">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12</w:t>
            </w:r>
          </w:p>
        </w:tc>
      </w:tr>
      <w:tr w14:paraId="1D6AC0F0">
        <w:tblPrEx>
          <w:tblCellMar>
            <w:top w:w="0" w:type="dxa"/>
            <w:left w:w="108" w:type="dxa"/>
            <w:bottom w:w="0" w:type="dxa"/>
            <w:right w:w="108" w:type="dxa"/>
          </w:tblCellMar>
        </w:tblPrEx>
        <w:trPr>
          <w:trHeight w:val="420" w:hRule="atLeast"/>
        </w:trPr>
        <w:tc>
          <w:tcPr>
            <w:tcW w:w="1060" w:type="dxa"/>
            <w:vMerge w:val="continue"/>
            <w:tcBorders>
              <w:left w:val="single" w:color="auto" w:sz="4" w:space="0"/>
              <w:right w:val="single" w:color="auto" w:sz="4" w:space="0"/>
            </w:tcBorders>
            <w:vAlign w:val="center"/>
          </w:tcPr>
          <w:p w14:paraId="05F52CC6">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rPr>
            </w:pPr>
          </w:p>
        </w:tc>
        <w:tc>
          <w:tcPr>
            <w:tcW w:w="780" w:type="dxa"/>
            <w:tcBorders>
              <w:top w:val="nil"/>
              <w:left w:val="nil"/>
              <w:bottom w:val="single" w:color="auto" w:sz="4" w:space="0"/>
              <w:right w:val="single" w:color="auto" w:sz="4" w:space="0"/>
            </w:tcBorders>
            <w:noWrap/>
            <w:vAlign w:val="center"/>
          </w:tcPr>
          <w:p w14:paraId="4E0948C9">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3560" w:type="dxa"/>
            <w:tcBorders>
              <w:top w:val="nil"/>
              <w:left w:val="nil"/>
              <w:bottom w:val="single" w:color="auto" w:sz="4" w:space="0"/>
              <w:right w:val="single" w:color="auto" w:sz="4" w:space="0"/>
            </w:tcBorders>
            <w:vAlign w:val="center"/>
          </w:tcPr>
          <w:p w14:paraId="1DAFC447">
            <w:pPr>
              <w:keepNext w:val="0"/>
              <w:keepLines w:val="0"/>
              <w:pageBreakBefore w:val="0"/>
              <w:widowControl w:val="0"/>
              <w:kinsoku/>
              <w:wordWrap/>
              <w:overflowPunct/>
              <w:topLinePunct w:val="0"/>
              <w:autoSpaceDE w:val="0"/>
              <w:autoSpaceDN w:val="0"/>
              <w:bidi w:val="0"/>
              <w:jc w:val="left"/>
              <w:rPr>
                <w:rFonts w:hint="eastAsia" w:ascii="宋体" w:hAnsi="宋体" w:eastAsia="宋体" w:cs="宋体"/>
                <w:color w:val="auto"/>
                <w:sz w:val="21"/>
                <w:szCs w:val="21"/>
              </w:rPr>
            </w:pPr>
            <w:r>
              <w:rPr>
                <w:rFonts w:hint="eastAsia" w:ascii="宋体" w:hAnsi="宋体" w:eastAsia="宋体" w:cs="宋体"/>
                <w:color w:val="auto"/>
                <w:sz w:val="21"/>
                <w:szCs w:val="21"/>
              </w:rPr>
              <w:t>光瓦配件</w:t>
            </w:r>
          </w:p>
        </w:tc>
        <w:tc>
          <w:tcPr>
            <w:tcW w:w="1600" w:type="dxa"/>
            <w:tcBorders>
              <w:top w:val="nil"/>
              <w:left w:val="nil"/>
              <w:bottom w:val="single" w:color="auto" w:sz="4" w:space="0"/>
              <w:right w:val="single" w:color="auto" w:sz="4" w:space="0"/>
            </w:tcBorders>
            <w:vAlign w:val="center"/>
          </w:tcPr>
          <w:p w14:paraId="4013A1B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700" w:type="dxa"/>
            <w:tcBorders>
              <w:top w:val="nil"/>
              <w:left w:val="nil"/>
              <w:bottom w:val="single" w:color="auto" w:sz="4" w:space="0"/>
              <w:right w:val="single" w:color="auto" w:sz="4" w:space="0"/>
            </w:tcBorders>
            <w:vAlign w:val="center"/>
          </w:tcPr>
          <w:p w14:paraId="2F53F5CC">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套</w:t>
            </w:r>
          </w:p>
        </w:tc>
        <w:tc>
          <w:tcPr>
            <w:tcW w:w="700" w:type="dxa"/>
            <w:tcBorders>
              <w:top w:val="nil"/>
              <w:left w:val="nil"/>
              <w:bottom w:val="single" w:color="auto" w:sz="4" w:space="0"/>
              <w:right w:val="single" w:color="auto" w:sz="4" w:space="0"/>
            </w:tcBorders>
            <w:vAlign w:val="center"/>
          </w:tcPr>
          <w:p w14:paraId="5957ACF7">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r>
    </w:tbl>
    <w:p w14:paraId="47B088EA">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both"/>
        <w:textAlignment w:val="baseline"/>
        <w:rPr>
          <w:rFonts w:hint="eastAsia" w:ascii="宋体" w:hAnsi="宋体" w:eastAsia="宋体" w:cs="宋体"/>
          <w:color w:val="auto"/>
          <w:spacing w:val="3"/>
          <w:sz w:val="21"/>
          <w:szCs w:val="21"/>
        </w:rPr>
      </w:pPr>
      <w:bookmarkStart w:id="44" w:name="_Toc11558"/>
      <w:bookmarkStart w:id="45" w:name="_Toc29349"/>
    </w:p>
    <w:p w14:paraId="0F4520D1">
      <w:pPr>
        <w:pStyle w:val="13"/>
        <w:keepNext w:val="0"/>
        <w:keepLines w:val="0"/>
        <w:pageBreakBefore w:val="0"/>
        <w:widowControl w:val="0"/>
        <w:numPr>
          <w:ilvl w:val="0"/>
          <w:numId w:val="0"/>
        </w:numPr>
        <w:kinsoku/>
        <w:wordWrap/>
        <w:overflowPunct/>
        <w:topLinePunct w:val="0"/>
        <w:autoSpaceDE w:val="0"/>
        <w:autoSpaceDN w:val="0"/>
        <w:bidi w:val="0"/>
        <w:rPr>
          <w:rFonts w:hint="default"/>
          <w:color w:val="auto"/>
          <w:lang w:val="en-US" w:eastAsia="zh-CN"/>
        </w:rPr>
      </w:pPr>
      <w:r>
        <w:rPr>
          <w:rFonts w:hint="eastAsia"/>
          <w:color w:val="auto"/>
          <w:lang w:val="en-US" w:eastAsia="zh-CN"/>
        </w:rPr>
        <w:t>2.竞赛选手自备清单</w:t>
      </w:r>
    </w:p>
    <w:p w14:paraId="70B540B7">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瓦斯检查工</w:t>
      </w:r>
      <w:r>
        <w:rPr>
          <w:rFonts w:hint="eastAsia" w:ascii="宋体" w:hAnsi="宋体" w:eastAsia="宋体" w:cs="宋体"/>
          <w:color w:val="auto"/>
          <w:sz w:val="21"/>
          <w:szCs w:val="21"/>
          <w:lang w:val="en-US" w:eastAsia="zh-CN"/>
        </w:rPr>
        <w:t>项目</w:t>
      </w:r>
      <w:r>
        <w:rPr>
          <w:rFonts w:hint="eastAsia" w:ascii="宋体" w:hAnsi="宋体" w:eastAsia="宋体" w:cs="宋体"/>
          <w:color w:val="auto"/>
          <w:sz w:val="21"/>
          <w:szCs w:val="21"/>
        </w:rPr>
        <w:t>选手自备设备和工具</w:t>
      </w:r>
      <w:r>
        <w:rPr>
          <w:rFonts w:hint="eastAsia" w:ascii="宋体" w:hAnsi="宋体" w:eastAsia="宋体" w:cs="宋体"/>
          <w:color w:val="auto"/>
          <w:sz w:val="21"/>
          <w:szCs w:val="21"/>
          <w:lang w:val="en-US" w:eastAsia="zh-CN"/>
        </w:rPr>
        <w:t>清单表</w:t>
      </w:r>
    </w:p>
    <w:p w14:paraId="03B58752">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color w:val="auto"/>
          <w:sz w:val="21"/>
          <w:szCs w:val="21"/>
          <w:lang w:val="en-US" w:eastAsia="zh-CN"/>
        </w:rPr>
      </w:pPr>
    </w:p>
    <w:tbl>
      <w:tblPr>
        <w:tblStyle w:val="14"/>
        <w:tblW w:w="896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4"/>
        <w:gridCol w:w="2665"/>
        <w:gridCol w:w="2665"/>
        <w:gridCol w:w="2757"/>
      </w:tblGrid>
      <w:tr w14:paraId="0BBCA1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74" w:type="dxa"/>
            <w:vAlign w:val="center"/>
          </w:tcPr>
          <w:p w14:paraId="0E354122">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b w:val="0"/>
                <w:bCs w:val="0"/>
                <w:color w:val="auto"/>
                <w:sz w:val="21"/>
                <w:szCs w:val="21"/>
              </w:rPr>
            </w:pPr>
            <w:r>
              <w:rPr>
                <w:rFonts w:hint="eastAsia" w:ascii="宋体" w:hAnsi="宋体" w:eastAsia="宋体" w:cs="宋体"/>
                <w:b w:val="0"/>
                <w:bCs w:val="0"/>
                <w:color w:val="auto"/>
                <w:spacing w:val="-2"/>
                <w:sz w:val="21"/>
                <w:szCs w:val="21"/>
              </w:rPr>
              <w:t>序号</w:t>
            </w:r>
          </w:p>
        </w:tc>
        <w:tc>
          <w:tcPr>
            <w:tcW w:w="2665" w:type="dxa"/>
            <w:vAlign w:val="center"/>
          </w:tcPr>
          <w:p w14:paraId="627FFB8F">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b w:val="0"/>
                <w:bCs w:val="0"/>
                <w:color w:val="auto"/>
                <w:sz w:val="21"/>
                <w:szCs w:val="21"/>
              </w:rPr>
            </w:pPr>
            <w:r>
              <w:rPr>
                <w:rFonts w:hint="eastAsia" w:ascii="宋体" w:hAnsi="宋体" w:eastAsia="宋体" w:cs="宋体"/>
                <w:b w:val="0"/>
                <w:bCs w:val="0"/>
                <w:color w:val="auto"/>
                <w:spacing w:val="5"/>
                <w:sz w:val="21"/>
                <w:szCs w:val="21"/>
              </w:rPr>
              <w:t>名称</w:t>
            </w:r>
          </w:p>
        </w:tc>
        <w:tc>
          <w:tcPr>
            <w:tcW w:w="2665" w:type="dxa"/>
            <w:vAlign w:val="center"/>
          </w:tcPr>
          <w:p w14:paraId="78BEC02E">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pacing w:val="-2"/>
                <w:sz w:val="21"/>
                <w:szCs w:val="21"/>
              </w:rPr>
              <w:t>技术规格</w:t>
            </w:r>
            <w:r>
              <w:rPr>
                <w:rFonts w:hint="eastAsia" w:ascii="宋体" w:hAnsi="宋体" w:cs="宋体"/>
                <w:b w:val="0"/>
                <w:bCs w:val="0"/>
                <w:color w:val="auto"/>
                <w:spacing w:val="-2"/>
                <w:sz w:val="21"/>
                <w:szCs w:val="21"/>
                <w:lang w:eastAsia="zh-CN"/>
              </w:rPr>
              <w:t>（</w:t>
            </w:r>
            <w:r>
              <w:rPr>
                <w:rFonts w:hint="eastAsia" w:ascii="宋体" w:hAnsi="宋体" w:cs="宋体"/>
                <w:b w:val="0"/>
                <w:bCs w:val="0"/>
                <w:color w:val="auto"/>
                <w:spacing w:val="-2"/>
                <w:sz w:val="21"/>
                <w:szCs w:val="21"/>
                <w:lang w:val="en-US" w:eastAsia="zh-CN"/>
              </w:rPr>
              <w:t>备注</w:t>
            </w:r>
            <w:r>
              <w:rPr>
                <w:rFonts w:hint="eastAsia" w:ascii="宋体" w:hAnsi="宋体" w:cs="宋体"/>
                <w:b w:val="0"/>
                <w:bCs w:val="0"/>
                <w:color w:val="auto"/>
                <w:spacing w:val="-2"/>
                <w:sz w:val="21"/>
                <w:szCs w:val="21"/>
                <w:lang w:eastAsia="zh-CN"/>
              </w:rPr>
              <w:t>）</w:t>
            </w:r>
          </w:p>
        </w:tc>
        <w:tc>
          <w:tcPr>
            <w:tcW w:w="2757" w:type="dxa"/>
            <w:vAlign w:val="center"/>
          </w:tcPr>
          <w:p w14:paraId="508E5665">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spacing w:val="-5"/>
                <w:sz w:val="21"/>
                <w:szCs w:val="21"/>
              </w:rPr>
              <w:t>数量</w:t>
            </w:r>
          </w:p>
        </w:tc>
      </w:tr>
      <w:tr w14:paraId="5B1F36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74" w:type="dxa"/>
            <w:vAlign w:val="center"/>
          </w:tcPr>
          <w:p w14:paraId="4641178C">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w:t>
            </w:r>
          </w:p>
        </w:tc>
        <w:tc>
          <w:tcPr>
            <w:tcW w:w="2665" w:type="dxa"/>
            <w:vAlign w:val="center"/>
          </w:tcPr>
          <w:p w14:paraId="1358BF81">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b w:val="0"/>
                <w:bCs w:val="0"/>
                <w:color w:val="auto"/>
                <w:sz w:val="21"/>
                <w:szCs w:val="21"/>
                <w:lang w:eastAsia="zh-CN"/>
              </w:rPr>
            </w:pPr>
            <w:r>
              <w:rPr>
                <w:rFonts w:hint="eastAsia" w:ascii="宋体" w:hAnsi="宋体" w:cs="宋体"/>
                <w:b w:val="0"/>
                <w:bCs w:val="0"/>
                <w:color w:val="auto"/>
                <w:spacing w:val="3"/>
                <w:sz w:val="21"/>
                <w:szCs w:val="21"/>
                <w:lang w:val="en-US" w:eastAsia="zh-CN"/>
              </w:rPr>
              <w:t>工作服</w:t>
            </w:r>
          </w:p>
        </w:tc>
        <w:tc>
          <w:tcPr>
            <w:tcW w:w="2665" w:type="dxa"/>
            <w:vAlign w:val="center"/>
          </w:tcPr>
          <w:p w14:paraId="181D0755">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cs="宋体"/>
                <w:b w:val="0"/>
                <w:bCs w:val="0"/>
                <w:color w:val="auto"/>
                <w:spacing w:val="4"/>
                <w:sz w:val="21"/>
                <w:szCs w:val="21"/>
                <w:lang w:val="en-US" w:eastAsia="zh-CN"/>
              </w:rPr>
            </w:pPr>
            <w:r>
              <w:rPr>
                <w:rFonts w:hint="eastAsia" w:ascii="宋体" w:hAnsi="宋体" w:cs="宋体"/>
                <w:b w:val="0"/>
                <w:bCs w:val="0"/>
                <w:color w:val="auto"/>
                <w:spacing w:val="4"/>
                <w:sz w:val="21"/>
                <w:szCs w:val="21"/>
                <w:lang w:val="en-US" w:eastAsia="zh-CN"/>
              </w:rPr>
              <w:t>阻燃防静电</w:t>
            </w:r>
          </w:p>
          <w:p w14:paraId="2F2E2327">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default" w:ascii="宋体" w:hAnsi="宋体" w:eastAsia="宋体" w:cs="宋体"/>
                <w:b w:val="0"/>
                <w:bCs w:val="0"/>
                <w:color w:val="auto"/>
                <w:sz w:val="21"/>
                <w:szCs w:val="21"/>
                <w:lang w:val="en-US" w:eastAsia="zh-CN"/>
              </w:rPr>
            </w:pPr>
            <w:r>
              <w:rPr>
                <w:rFonts w:hint="eastAsia" w:ascii="宋体" w:hAnsi="宋体" w:cs="宋体"/>
                <w:b w:val="0"/>
                <w:bCs w:val="0"/>
                <w:color w:val="auto"/>
                <w:spacing w:val="4"/>
                <w:sz w:val="21"/>
                <w:szCs w:val="21"/>
                <w:lang w:val="en-US" w:eastAsia="zh-CN"/>
              </w:rPr>
              <w:t>(无明显单位标识)</w:t>
            </w:r>
          </w:p>
        </w:tc>
        <w:tc>
          <w:tcPr>
            <w:tcW w:w="2757" w:type="dxa"/>
            <w:vAlign w:val="center"/>
          </w:tcPr>
          <w:p w14:paraId="544B8D91">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default" w:ascii="宋体" w:hAnsi="宋体" w:eastAsia="宋体" w:cs="宋体"/>
                <w:b w:val="0"/>
                <w:bCs w:val="0"/>
                <w:color w:val="auto"/>
                <w:kern w:val="2"/>
                <w:sz w:val="21"/>
                <w:szCs w:val="21"/>
                <w:lang w:val="en-US" w:eastAsia="zh-CN" w:bidi="ar-SA"/>
              </w:rPr>
            </w:pPr>
            <w:r>
              <w:rPr>
                <w:rFonts w:hint="eastAsia" w:ascii="宋体" w:hAnsi="宋体" w:cs="宋体"/>
                <w:b w:val="0"/>
                <w:bCs w:val="0"/>
                <w:color w:val="auto"/>
                <w:spacing w:val="1"/>
                <w:sz w:val="21"/>
                <w:szCs w:val="21"/>
                <w:lang w:val="en-US" w:eastAsia="zh-CN"/>
              </w:rPr>
              <w:t>1套</w:t>
            </w:r>
          </w:p>
        </w:tc>
      </w:tr>
      <w:tr w14:paraId="16E59D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74" w:type="dxa"/>
            <w:vAlign w:val="center"/>
          </w:tcPr>
          <w:p w14:paraId="78CCAB26">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2</w:t>
            </w:r>
          </w:p>
        </w:tc>
        <w:tc>
          <w:tcPr>
            <w:tcW w:w="2665" w:type="dxa"/>
            <w:vAlign w:val="center"/>
          </w:tcPr>
          <w:p w14:paraId="63534385">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b w:val="0"/>
                <w:bCs w:val="0"/>
                <w:color w:val="auto"/>
                <w:sz w:val="21"/>
                <w:szCs w:val="21"/>
                <w:lang w:eastAsia="zh-CN"/>
              </w:rPr>
            </w:pPr>
            <w:r>
              <w:rPr>
                <w:rFonts w:hint="eastAsia" w:ascii="宋体" w:hAnsi="宋体" w:cs="宋体"/>
                <w:b w:val="0"/>
                <w:bCs w:val="0"/>
                <w:color w:val="auto"/>
                <w:spacing w:val="4"/>
                <w:sz w:val="21"/>
                <w:szCs w:val="21"/>
                <w:lang w:val="en-US" w:eastAsia="zh-CN"/>
              </w:rPr>
              <w:t>胶靴</w:t>
            </w:r>
          </w:p>
        </w:tc>
        <w:tc>
          <w:tcPr>
            <w:tcW w:w="2665" w:type="dxa"/>
            <w:vAlign w:val="center"/>
          </w:tcPr>
          <w:p w14:paraId="327D952C">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b w:val="0"/>
                <w:bCs w:val="0"/>
                <w:color w:val="auto"/>
                <w:sz w:val="21"/>
                <w:szCs w:val="21"/>
                <w:lang w:eastAsia="zh-CN"/>
              </w:rPr>
            </w:pPr>
            <w:r>
              <w:rPr>
                <w:rFonts w:hint="eastAsia" w:ascii="宋体" w:hAnsi="宋体" w:cs="宋体"/>
                <w:b w:val="0"/>
                <w:bCs w:val="0"/>
                <w:color w:val="auto"/>
                <w:spacing w:val="-2"/>
                <w:sz w:val="21"/>
                <w:szCs w:val="21"/>
                <w:lang w:val="en-US" w:eastAsia="zh-CN"/>
              </w:rPr>
              <w:t>双</w:t>
            </w:r>
          </w:p>
        </w:tc>
        <w:tc>
          <w:tcPr>
            <w:tcW w:w="2757" w:type="dxa"/>
            <w:vAlign w:val="center"/>
          </w:tcPr>
          <w:p w14:paraId="13FF8DBE">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spacing w:val="1"/>
                <w:sz w:val="21"/>
                <w:szCs w:val="21"/>
              </w:rPr>
              <w:t>1套</w:t>
            </w:r>
            <w:r>
              <w:rPr>
                <w:rFonts w:hint="eastAsia" w:ascii="宋体" w:hAnsi="宋体" w:cs="宋体"/>
                <w:b w:val="0"/>
                <w:bCs w:val="0"/>
                <w:color w:val="auto"/>
                <w:spacing w:val="1"/>
                <w:sz w:val="21"/>
                <w:szCs w:val="21"/>
                <w:lang w:val="en-US" w:eastAsia="zh-CN"/>
              </w:rPr>
              <w:t xml:space="preserve"> </w:t>
            </w:r>
          </w:p>
        </w:tc>
      </w:tr>
      <w:tr w14:paraId="337F4B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74" w:type="dxa"/>
            <w:vAlign w:val="center"/>
          </w:tcPr>
          <w:p w14:paraId="3B961634">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b w:val="0"/>
                <w:bCs w:val="0"/>
                <w:color w:val="auto"/>
                <w:sz w:val="21"/>
                <w:szCs w:val="21"/>
                <w:lang w:val="en-US" w:eastAsia="zh-CN"/>
              </w:rPr>
            </w:pPr>
            <w:r>
              <w:rPr>
                <w:rFonts w:hint="eastAsia" w:ascii="宋体" w:hAnsi="宋体" w:cs="宋体"/>
                <w:b w:val="0"/>
                <w:bCs w:val="0"/>
                <w:color w:val="auto"/>
                <w:sz w:val="21"/>
                <w:szCs w:val="21"/>
                <w:lang w:val="en-US" w:eastAsia="zh-CN"/>
              </w:rPr>
              <w:t>3</w:t>
            </w:r>
          </w:p>
        </w:tc>
        <w:tc>
          <w:tcPr>
            <w:tcW w:w="2665" w:type="dxa"/>
            <w:vAlign w:val="center"/>
          </w:tcPr>
          <w:p w14:paraId="0FFE8EB2">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b w:val="0"/>
                <w:bCs w:val="0"/>
                <w:color w:val="auto"/>
                <w:sz w:val="21"/>
                <w:szCs w:val="21"/>
                <w:lang w:eastAsia="zh-CN"/>
              </w:rPr>
            </w:pPr>
            <w:r>
              <w:rPr>
                <w:rFonts w:hint="eastAsia" w:ascii="宋体" w:hAnsi="宋体" w:cs="宋体"/>
                <w:b w:val="0"/>
                <w:bCs w:val="0"/>
                <w:color w:val="auto"/>
                <w:spacing w:val="-2"/>
                <w:sz w:val="21"/>
                <w:szCs w:val="21"/>
                <w:lang w:val="en-US" w:eastAsia="zh-CN"/>
              </w:rPr>
              <w:t xml:space="preserve">灯带 </w:t>
            </w:r>
          </w:p>
        </w:tc>
        <w:tc>
          <w:tcPr>
            <w:tcW w:w="2665" w:type="dxa"/>
            <w:vAlign w:val="center"/>
          </w:tcPr>
          <w:p w14:paraId="22443697">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b w:val="0"/>
                <w:bCs w:val="0"/>
                <w:color w:val="auto"/>
                <w:sz w:val="21"/>
                <w:szCs w:val="21"/>
                <w:lang w:eastAsia="zh-CN"/>
              </w:rPr>
            </w:pPr>
            <w:r>
              <w:rPr>
                <w:rFonts w:hint="eastAsia" w:ascii="宋体" w:hAnsi="宋体" w:cs="宋体"/>
                <w:b w:val="0"/>
                <w:bCs w:val="0"/>
                <w:color w:val="auto"/>
                <w:spacing w:val="-2"/>
                <w:sz w:val="21"/>
                <w:szCs w:val="21"/>
                <w:lang w:val="en-US" w:eastAsia="zh-CN"/>
              </w:rPr>
              <w:t xml:space="preserve"> </w:t>
            </w:r>
            <w:r>
              <w:rPr>
                <w:rFonts w:hint="eastAsia" w:ascii="宋体" w:hAnsi="宋体" w:cs="宋体"/>
                <w:b w:val="0"/>
                <w:bCs w:val="0"/>
                <w:color w:val="auto"/>
                <w:spacing w:val="4"/>
                <w:sz w:val="21"/>
                <w:szCs w:val="21"/>
                <w:lang w:val="en-US" w:eastAsia="zh-CN"/>
              </w:rPr>
              <w:t>阻燃防静电</w:t>
            </w:r>
          </w:p>
        </w:tc>
        <w:tc>
          <w:tcPr>
            <w:tcW w:w="2757" w:type="dxa"/>
            <w:vAlign w:val="center"/>
          </w:tcPr>
          <w:p w14:paraId="0001D638">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default" w:ascii="宋体" w:hAnsi="宋体" w:eastAsia="宋体" w:cs="宋体"/>
                <w:b w:val="0"/>
                <w:bCs w:val="0"/>
                <w:color w:val="auto"/>
                <w:kern w:val="2"/>
                <w:sz w:val="21"/>
                <w:szCs w:val="21"/>
                <w:lang w:val="en-US" w:eastAsia="zh-CN" w:bidi="ar-SA"/>
              </w:rPr>
            </w:pPr>
            <w:r>
              <w:rPr>
                <w:rFonts w:hint="eastAsia" w:ascii="宋体" w:hAnsi="宋体" w:cs="宋体"/>
                <w:b w:val="0"/>
                <w:bCs w:val="0"/>
                <w:color w:val="auto"/>
                <w:spacing w:val="-2"/>
                <w:sz w:val="21"/>
                <w:szCs w:val="21"/>
                <w:lang w:val="en-US" w:eastAsia="zh-CN"/>
              </w:rPr>
              <w:t xml:space="preserve"> 1条</w:t>
            </w:r>
          </w:p>
        </w:tc>
      </w:tr>
    </w:tbl>
    <w:p w14:paraId="6615BAD9">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eastAsia="宋体" w:cs="宋体"/>
          <w:color w:val="auto"/>
          <w:sz w:val="21"/>
          <w:szCs w:val="21"/>
        </w:rPr>
      </w:pPr>
    </w:p>
    <w:p w14:paraId="000C40EF">
      <w:pPr>
        <w:keepNext w:val="0"/>
        <w:keepLines w:val="0"/>
        <w:pageBreakBefore w:val="0"/>
        <w:widowControl w:val="0"/>
        <w:suppressLineNumbers w:val="0"/>
        <w:kinsoku/>
        <w:wordWrap/>
        <w:overflowPunct/>
        <w:topLinePunct w:val="0"/>
        <w:autoSpaceDE w:val="0"/>
        <w:autoSpaceDN w:val="0"/>
        <w:bidi w:val="0"/>
        <w:adjustRightInd w:val="0"/>
        <w:snapToGrid w:val="0"/>
        <w:spacing w:line="240" w:lineRule="auto"/>
        <w:ind w:left="0" w:leftChars="0" w:firstLine="420" w:firstLineChars="200"/>
        <w:jc w:val="left"/>
        <w:textAlignment w:val="auto"/>
        <w:rPr>
          <w:rFonts w:hint="eastAsia" w:ascii="宋体" w:hAnsi="宋体" w:eastAsia="宋体" w:cs="宋体"/>
          <w:color w:val="auto"/>
          <w:spacing w:val="0"/>
          <w:sz w:val="21"/>
          <w:szCs w:val="21"/>
          <w:lang w:val="en-US" w:eastAsia="zh-CN"/>
        </w:rPr>
      </w:pPr>
      <w:r>
        <w:rPr>
          <w:rFonts w:hint="eastAsia" w:ascii="宋体" w:hAnsi="宋体" w:cs="宋体"/>
          <w:color w:val="auto"/>
          <w:spacing w:val="0"/>
          <w:sz w:val="21"/>
          <w:szCs w:val="21"/>
          <w:lang w:val="en-US" w:eastAsia="zh-CN"/>
        </w:rPr>
        <w:t xml:space="preserve"> </w:t>
      </w:r>
      <w:r>
        <w:rPr>
          <w:rFonts w:hint="eastAsia" w:ascii="宋体" w:hAnsi="宋体" w:eastAsia="宋体" w:cs="宋体"/>
          <w:color w:val="auto"/>
          <w:spacing w:val="0"/>
          <w:sz w:val="21"/>
          <w:szCs w:val="21"/>
          <w:lang w:val="en-US" w:eastAsia="zh-CN"/>
        </w:rPr>
        <w:t>通常情况下：未明确在选手携带工具清单中的，一律不得带入赛场。选手自带设备工具少于表中所列项目，赛场不负责提供。</w:t>
      </w:r>
    </w:p>
    <w:p w14:paraId="4E2B46C6">
      <w:pPr>
        <w:keepNext w:val="0"/>
        <w:keepLines w:val="0"/>
        <w:pageBreakBefore w:val="0"/>
        <w:widowControl w:val="0"/>
        <w:suppressLineNumbers w:val="0"/>
        <w:kinsoku/>
        <w:wordWrap/>
        <w:overflowPunct/>
        <w:topLinePunct w:val="0"/>
        <w:autoSpaceDE w:val="0"/>
        <w:autoSpaceDN w:val="0"/>
        <w:bidi w:val="0"/>
        <w:adjustRightInd w:val="0"/>
        <w:snapToGrid w:val="0"/>
        <w:spacing w:line="240" w:lineRule="auto"/>
        <w:ind w:firstLine="420" w:firstLineChars="200"/>
        <w:jc w:val="both"/>
        <w:textAlignment w:val="auto"/>
        <w:rPr>
          <w:color w:val="auto"/>
        </w:rPr>
      </w:pPr>
      <w:r>
        <w:rPr>
          <w:rFonts w:hint="eastAsia" w:ascii="宋体" w:hAnsi="宋体" w:eastAsia="宋体" w:cs="宋体"/>
          <w:color w:val="auto"/>
          <w:spacing w:val="0"/>
          <w:sz w:val="21"/>
          <w:szCs w:val="21"/>
          <w:lang w:val="en-US" w:eastAsia="zh-CN"/>
        </w:rPr>
        <w:t>另外，赛场配发的各类工具、材料，选手一律不得带出赛场。</w:t>
      </w:r>
    </w:p>
    <w:bookmarkEnd w:id="0"/>
    <w:bookmarkEnd w:id="1"/>
    <w:bookmarkEnd w:id="2"/>
    <w:bookmarkEnd w:id="3"/>
    <w:bookmarkEnd w:id="4"/>
    <w:bookmarkEnd w:id="5"/>
    <w:bookmarkEnd w:id="44"/>
    <w:bookmarkEnd w:id="45"/>
    <w:p w14:paraId="697A7C02">
      <w:pPr>
        <w:keepNext w:val="0"/>
        <w:keepLines w:val="0"/>
        <w:pageBreakBefore w:val="0"/>
        <w:widowControl w:val="0"/>
        <w:kinsoku/>
        <w:wordWrap/>
        <w:overflowPunct/>
        <w:topLinePunct w:val="0"/>
        <w:autoSpaceDE w:val="0"/>
        <w:autoSpaceDN w:val="0"/>
        <w:bidi w:val="0"/>
        <w:outlineLvl w:val="0"/>
        <w:rPr>
          <w:rFonts w:ascii="宋体" w:hAnsi="宋体" w:cs="宋体"/>
          <w:color w:val="auto"/>
          <w:spacing w:val="0"/>
          <w:sz w:val="28"/>
          <w:szCs w:val="28"/>
        </w:rPr>
      </w:pPr>
      <w:bookmarkStart w:id="46" w:name="_Toc85"/>
      <w:bookmarkStart w:id="47" w:name="_Toc18818"/>
      <w:bookmarkStart w:id="48" w:name="_Toc87011412"/>
      <w:r>
        <w:rPr>
          <w:rFonts w:hint="eastAsia"/>
          <w:b/>
          <w:bCs/>
          <w:color w:val="auto"/>
          <w:spacing w:val="0"/>
          <w:sz w:val="32"/>
          <w:szCs w:val="32"/>
        </w:rPr>
        <w:t>五、健康、安全和环保要求</w:t>
      </w:r>
      <w:bookmarkEnd w:id="46"/>
      <w:bookmarkEnd w:id="47"/>
      <w:bookmarkEnd w:id="48"/>
      <w:r>
        <w:rPr>
          <w:rFonts w:hint="eastAsia" w:ascii="宋体" w:hAnsi="宋体" w:cs="宋体"/>
          <w:color w:val="auto"/>
          <w:spacing w:val="0"/>
          <w:sz w:val="28"/>
          <w:szCs w:val="28"/>
        </w:rPr>
        <w:t xml:space="preserve"> </w:t>
      </w:r>
    </w:p>
    <w:p w14:paraId="4CF9211B">
      <w:pPr>
        <w:keepNext w:val="0"/>
        <w:keepLines w:val="0"/>
        <w:pageBreakBefore w:val="0"/>
        <w:widowControl w:val="0"/>
        <w:kinsoku/>
        <w:wordWrap/>
        <w:overflowPunct/>
        <w:topLinePunct w:val="0"/>
        <w:autoSpaceDE w:val="0"/>
        <w:autoSpaceDN w:val="0"/>
        <w:bidi w:val="0"/>
        <w:ind w:firstLine="562" w:firstLineChars="200"/>
        <w:outlineLvl w:val="1"/>
        <w:rPr>
          <w:rFonts w:ascii="宋体" w:hAnsi="宋体" w:cs="宋体"/>
          <w:b/>
          <w:bCs/>
          <w:color w:val="auto"/>
          <w:spacing w:val="0"/>
          <w:sz w:val="28"/>
          <w:szCs w:val="28"/>
        </w:rPr>
      </w:pPr>
      <w:bookmarkStart w:id="49" w:name="_Toc5693"/>
      <w:bookmarkStart w:id="50" w:name="_Toc87011413"/>
      <w:r>
        <w:rPr>
          <w:rFonts w:hint="eastAsia" w:ascii="宋体" w:hAnsi="宋体" w:cs="宋体"/>
          <w:b/>
          <w:bCs/>
          <w:color w:val="auto"/>
          <w:spacing w:val="0"/>
          <w:sz w:val="28"/>
          <w:szCs w:val="28"/>
        </w:rPr>
        <w:t>（一）赛场预案</w:t>
      </w:r>
      <w:bookmarkEnd w:id="49"/>
      <w:bookmarkEnd w:id="50"/>
    </w:p>
    <w:p w14:paraId="5BCA7CE7">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为防范比赛时安全事故发生，维护正常的比赛秩序，保证大赛按时、安全、有序完成，制定以下赛场应急预案。</w:t>
      </w:r>
    </w:p>
    <w:p w14:paraId="770B6F5A">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bookmarkStart w:id="51" w:name="_Toc135424239"/>
      <w:bookmarkStart w:id="52" w:name="_Toc135467076"/>
      <w:bookmarkStart w:id="53" w:name="_Toc135429303"/>
      <w:bookmarkStart w:id="54" w:name="_Toc135436601"/>
      <w:r>
        <w:rPr>
          <w:rFonts w:hint="eastAsia" w:ascii="宋体" w:hAnsi="宋体" w:cs="宋体"/>
          <w:color w:val="auto"/>
          <w:spacing w:val="0"/>
          <w:sz w:val="21"/>
          <w:szCs w:val="21"/>
          <w:lang w:val="en-US" w:eastAsia="zh-CN"/>
        </w:rPr>
        <w:t>1、设备工具毁坏事件应急预案</w:t>
      </w:r>
    </w:p>
    <w:p w14:paraId="260EA854">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竞赛现场依据“场地设备”与“选手可自备的工具”清单配备2套完整的工具 ，应对临时工位与设备出现意外，同时在专家室备用一套完整工具设备。</w:t>
      </w:r>
    </w:p>
    <w:p w14:paraId="7F24AB77">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2、电源保障预案</w:t>
      </w:r>
    </w:p>
    <w:p w14:paraId="30AD361B">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 xml:space="preserve">（1）承办单位事先协调当地供电部门，保证竞赛当天的正常供电。 </w:t>
      </w:r>
    </w:p>
    <w:p w14:paraId="78159144">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（2）竞赛过程中出现设备掉电、故障等意外时，裁判组需及时确认情况，安排技术支持人员进行处理，裁判组登记详细情况，填写补时登记表，报裁判长批准后，可安排延长补足相应选手的比赛时间。</w:t>
      </w:r>
    </w:p>
    <w:p w14:paraId="21F69C1F">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bookmarkStart w:id="55" w:name="（四）计算机保障预案"/>
      <w:bookmarkEnd w:id="55"/>
      <w:r>
        <w:rPr>
          <w:rFonts w:hint="eastAsia" w:ascii="宋体" w:hAnsi="宋体" w:cs="宋体"/>
          <w:color w:val="auto"/>
          <w:spacing w:val="0"/>
          <w:sz w:val="21"/>
          <w:szCs w:val="21"/>
          <w:lang w:val="en-US" w:eastAsia="zh-CN"/>
        </w:rPr>
        <w:t>3、计算机保障预案</w:t>
      </w:r>
    </w:p>
    <w:p w14:paraId="51496F5C">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计算机设备在本赛项中用于统记分数、材料打印。需预留 1 套备用电脑及设备，当出现设备掉电、故障等意外时，由赛场技术支持人员予以及时处理或更换。</w:t>
      </w:r>
    </w:p>
    <w:p w14:paraId="3FCA0B47">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bookmarkStart w:id="56" w:name="（五）突发受伤医疗服务应急预案"/>
      <w:bookmarkEnd w:id="56"/>
      <w:r>
        <w:rPr>
          <w:rFonts w:hint="eastAsia" w:ascii="宋体" w:hAnsi="宋体" w:cs="宋体"/>
          <w:color w:val="auto"/>
          <w:spacing w:val="0"/>
          <w:sz w:val="21"/>
          <w:szCs w:val="21"/>
          <w:lang w:val="en-US" w:eastAsia="zh-CN"/>
        </w:rPr>
        <w:t>4、突发受伤医疗服务应急预案</w:t>
      </w:r>
    </w:p>
    <w:p w14:paraId="2FF40117">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由于比赛需要使用仪器、采样器等工具，加上比赛紧张，比赛中可能出现头晕、恶心、呕吐、出血等各种意外，配备现场医疗服务队，轻者在现场进行处理，重者转移至医疗服务区进行处理，严重者送往医院救治。</w:t>
      </w:r>
    </w:p>
    <w:p w14:paraId="61CC2C62">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bookmarkStart w:id="57" w:name="（六）疫情防控预案"/>
      <w:bookmarkEnd w:id="57"/>
      <w:bookmarkStart w:id="58" w:name="（七）其他重大事故预案"/>
      <w:bookmarkEnd w:id="58"/>
      <w:r>
        <w:rPr>
          <w:rFonts w:hint="eastAsia" w:ascii="宋体" w:hAnsi="宋体" w:cs="宋体"/>
          <w:color w:val="auto"/>
          <w:spacing w:val="0"/>
          <w:sz w:val="21"/>
          <w:szCs w:val="21"/>
          <w:lang w:val="en-US" w:eastAsia="zh-CN"/>
        </w:rPr>
        <w:t>5、其他重大事故预案</w:t>
      </w:r>
    </w:p>
    <w:p w14:paraId="4ED4E800">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比赛期间发生大规模意外事故和安全问题，发现者应第一时间报告赛项执委会，赛项执委会应采取中止比赛、快速疏散人群等措施避免事态扩大，并第一时间报告赛区执委会。赛项出现重大安全问题可以停赛，是否停赛由赛区执委会决定。事后，赛区执委会应向大赛执委会报告详细情况。</w:t>
      </w:r>
    </w:p>
    <w:bookmarkEnd w:id="51"/>
    <w:bookmarkEnd w:id="52"/>
    <w:bookmarkEnd w:id="53"/>
    <w:bookmarkEnd w:id="54"/>
    <w:p w14:paraId="767653CE">
      <w:pPr>
        <w:keepNext w:val="0"/>
        <w:keepLines w:val="0"/>
        <w:pageBreakBefore w:val="0"/>
        <w:widowControl w:val="0"/>
        <w:numPr>
          <w:ilvl w:val="0"/>
          <w:numId w:val="7"/>
        </w:numPr>
        <w:kinsoku/>
        <w:wordWrap/>
        <w:overflowPunct/>
        <w:topLinePunct w:val="0"/>
        <w:autoSpaceDE w:val="0"/>
        <w:autoSpaceDN w:val="0"/>
        <w:bidi w:val="0"/>
        <w:ind w:firstLine="562" w:firstLineChars="200"/>
        <w:outlineLvl w:val="1"/>
        <w:rPr>
          <w:rFonts w:hint="eastAsia" w:ascii="宋体" w:hAnsi="宋体" w:cs="宋体"/>
          <w:b/>
          <w:bCs/>
          <w:color w:val="auto"/>
          <w:sz w:val="28"/>
          <w:szCs w:val="28"/>
        </w:rPr>
      </w:pPr>
      <w:bookmarkStart w:id="59" w:name="_Toc29092"/>
      <w:bookmarkStart w:id="60" w:name="_Toc87011414"/>
      <w:r>
        <w:rPr>
          <w:rFonts w:hint="eastAsia" w:ascii="宋体" w:hAnsi="宋体" w:cs="宋体"/>
          <w:b/>
          <w:bCs/>
          <w:color w:val="auto"/>
          <w:sz w:val="28"/>
          <w:szCs w:val="28"/>
        </w:rPr>
        <w:t>赛项安全</w:t>
      </w:r>
      <w:bookmarkEnd w:id="59"/>
      <w:bookmarkEnd w:id="60"/>
    </w:p>
    <w:p w14:paraId="29787410">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eastAsia="宋体" w:cs="宋体"/>
          <w:color w:val="auto"/>
          <w:spacing w:val="0"/>
          <w:sz w:val="21"/>
          <w:szCs w:val="21"/>
        </w:rPr>
        <w:t>赛</w:t>
      </w:r>
      <w:r>
        <w:rPr>
          <w:rFonts w:hint="eastAsia" w:ascii="宋体" w:hAnsi="宋体" w:eastAsia="宋体" w:cs="宋体"/>
          <w:color w:val="auto"/>
          <w:spacing w:val="0"/>
          <w:sz w:val="21"/>
          <w:szCs w:val="21"/>
          <w:lang w:val="en-US" w:eastAsia="zh-CN"/>
        </w:rPr>
        <w:t>事</w:t>
      </w:r>
      <w:r>
        <w:rPr>
          <w:rFonts w:hint="eastAsia" w:ascii="宋体" w:hAnsi="宋体" w:cs="宋体"/>
          <w:color w:val="auto"/>
          <w:spacing w:val="0"/>
          <w:sz w:val="21"/>
          <w:szCs w:val="21"/>
          <w:lang w:val="en-US" w:eastAsia="zh-CN"/>
        </w:rPr>
        <w:t>安全是技能竞赛一切工作顺利开展的先决条件，是赛事筹备和运行工作必须考虑的核心问题。赛项组委会采取切实有效措施保证大赛期间参赛选手、指导教师、裁判员、工作人员及观众的人身安全。</w:t>
      </w:r>
    </w:p>
    <w:p w14:paraId="23837BB2">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（一）比赛环境</w:t>
      </w:r>
    </w:p>
    <w:p w14:paraId="59775C33">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1）组委会须在赛前组织专人对比赛现场、住宿场所和交通保障进行考察，并对安全工作提出明确要求。赛场的布置，赛场内的器材、设备，应符合国家有关安全规定。如有必要，也可进行赛场仿真模拟测试，以发现可能出现的问题。承办单位赛前须按照组委会要求排除安全隐患。</w:t>
      </w:r>
    </w:p>
    <w:p w14:paraId="2BB8AA84">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2）赛场周围要设立警戒线，要求所有参赛人员必须凭组委会印发的有效证件进入场地，防止无关人员进入发生意外事件。比赛现场内应参照相关职业岗位的要求为选手提供必要的劳动保护。在具有危险性的操作环节，裁判员要严防选手出现错误操作。</w:t>
      </w:r>
    </w:p>
    <w:p w14:paraId="6C6E6788">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（3）承办单位应提供保证应急预案实施的条件。对于比赛内容涉及大用电量、易发生火灾等情况的赛项，必须明确制度和预案，并配备急救人员与设施。</w:t>
      </w:r>
    </w:p>
    <w:p w14:paraId="5BCA8343">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 xml:space="preserve"> （4）严格控制与参赛无关的易燃易爆以及各类危险品进入比赛场地，不许随便携带其它物品进入赛场。</w:t>
      </w:r>
    </w:p>
    <w:p w14:paraId="3799150B">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（5）配备先进的仪器，防止有人利用电磁波干扰比赛秩序。大赛现场需对赛场进行网络安全控制，以免场内外信息交互，充分体现大赛的严肃、公平和公正性。</w:t>
      </w:r>
    </w:p>
    <w:p w14:paraId="3ED777C3">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（6）组委会须协同承办单位制定开放赛场的人员疏导方案。赛场环境中存在人员密集、车流人流交错的区域，除了设置齐全的指示标志外，须增加引导人员，并开辟备用通道。</w:t>
      </w:r>
    </w:p>
    <w:p w14:paraId="070B2462">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（7）大赛期间，承办单位须在赛场管理的关键岗位，增加力量，建立安全管理日志。</w:t>
      </w:r>
    </w:p>
    <w:p w14:paraId="4D3023E5">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（二）生活条件</w:t>
      </w:r>
    </w:p>
    <w:p w14:paraId="7C1EDEB9">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（1）比赛期间，原则上由组委会统一安排参赛选手和指导教师食宿。承办单位须尊重少数民族的信仰及文化，根据国家相关的民族政策，安排好少数民族选手和教师的饮食起居。</w:t>
      </w:r>
    </w:p>
    <w:p w14:paraId="3D9F9054">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（2）比赛期间安排的住宿地应具有宾馆/住宿经营许可资质。大赛期间的住宿、卫生、饮食安全等由组委会和承办单位共同负责。</w:t>
      </w:r>
    </w:p>
    <w:p w14:paraId="6B9C8609">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12"/>
          <w:sz w:val="21"/>
          <w:szCs w:val="21"/>
          <w:lang w:val="en-US" w:eastAsia="zh-CN"/>
        </w:rPr>
      </w:pPr>
      <w:r>
        <w:rPr>
          <w:rFonts w:hint="eastAsia" w:ascii="宋体" w:hAnsi="宋体" w:cs="宋体"/>
          <w:color w:val="auto"/>
          <w:spacing w:val="0"/>
          <w:sz w:val="21"/>
          <w:szCs w:val="21"/>
          <w:lang w:val="en-US" w:eastAsia="zh-CN"/>
        </w:rPr>
        <w:t>（3）大赛期间有组织的参观和观摩活动的交通安全由组委会负责。组委会和承办单位须保证比赛期间选手、</w:t>
      </w:r>
      <w:r>
        <w:rPr>
          <w:rFonts w:hint="eastAsia" w:ascii="宋体" w:hAnsi="宋体" w:cs="宋体"/>
          <w:color w:val="auto"/>
          <w:spacing w:val="-12"/>
          <w:sz w:val="21"/>
          <w:szCs w:val="21"/>
          <w:lang w:val="en-US" w:eastAsia="zh-CN"/>
        </w:rPr>
        <w:t xml:space="preserve">指导教师和裁判员、工作人员的交通安全。     </w:t>
      </w:r>
    </w:p>
    <w:p w14:paraId="0437E7FE">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（4）各赛项的安全管理，除了可以采取必要的安全隔离措施外，应严格遵守国家相关法律法规，保护个人隐私和人身自由。</w:t>
      </w:r>
    </w:p>
    <w:p w14:paraId="5B6CC4FB">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（三）组队责任</w:t>
      </w:r>
    </w:p>
    <w:p w14:paraId="42B11E7F">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（1）各单位组织代表队时，须为参赛选手购买大赛期间的人身意外伤害保险。</w:t>
      </w:r>
    </w:p>
    <w:p w14:paraId="6AABCD62">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（2）各单位代表队组成后，须制定相关管理制度，并对所有选手、指导教师进行安全教育。</w:t>
      </w:r>
    </w:p>
    <w:p w14:paraId="12AB0AFA">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（3）各参赛队伍须加强对参与比赛人员的安全管理，实现与赛场安全管理的对接。</w:t>
      </w:r>
    </w:p>
    <w:p w14:paraId="40DB1A0E">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（四）应急处理</w:t>
      </w:r>
    </w:p>
    <w:p w14:paraId="53938523">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比赛期间发生意外事故，发现者应第一时间报告组委会，同时采取措施避免事态扩大。组委会应立即启动预案予以解决。赛项出现重大安全问题可以停赛，是否停赛由组委会决定。事后，承办单位应向组委会报告详细情况。</w:t>
      </w:r>
    </w:p>
    <w:p w14:paraId="1BE5C957">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（五）处罚措施</w:t>
      </w:r>
    </w:p>
    <w:p w14:paraId="5711E56C">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（1）因参赛队伍原因造成重大安全事故的，取消其获奖资格。</w:t>
      </w:r>
    </w:p>
    <w:p w14:paraId="00A45394">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（2）参赛队伍有发生重大安全事故隐患，经赛场工作人员提示、警告无效的，可取消其继续比赛的资格。</w:t>
      </w:r>
    </w:p>
    <w:p w14:paraId="2FC724F0">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（3）赛事工作人员违规的，按照相应的制度追究责任。情节恶劣并造成重大安全事故的，由司法机关追究相应法律责任。</w:t>
      </w:r>
    </w:p>
    <w:p w14:paraId="2D3E9481">
      <w:pPr>
        <w:keepNext w:val="0"/>
        <w:keepLines w:val="0"/>
        <w:pageBreakBefore w:val="0"/>
        <w:widowControl w:val="0"/>
        <w:kinsoku/>
        <w:wordWrap/>
        <w:overflowPunct/>
        <w:topLinePunct w:val="0"/>
        <w:autoSpaceDE w:val="0"/>
        <w:autoSpaceDN w:val="0"/>
        <w:bidi w:val="0"/>
        <w:snapToGrid/>
        <w:ind w:firstLine="562" w:firstLineChars="200"/>
        <w:outlineLvl w:val="1"/>
        <w:rPr>
          <w:rFonts w:hint="eastAsia" w:ascii="宋体" w:hAnsi="宋体" w:cs="宋体"/>
          <w:b/>
          <w:bCs/>
          <w:color w:val="auto"/>
          <w:spacing w:val="0"/>
          <w:sz w:val="28"/>
          <w:szCs w:val="28"/>
        </w:rPr>
      </w:pPr>
      <w:bookmarkStart w:id="61" w:name="_Toc26056"/>
      <w:bookmarkStart w:id="62" w:name="_Toc87011415"/>
      <w:r>
        <w:rPr>
          <w:rFonts w:hint="eastAsia" w:ascii="宋体" w:hAnsi="宋体" w:cs="宋体"/>
          <w:b/>
          <w:bCs/>
          <w:color w:val="auto"/>
          <w:spacing w:val="0"/>
          <w:sz w:val="28"/>
          <w:szCs w:val="28"/>
        </w:rPr>
        <w:t>（三）绿色环保要求</w:t>
      </w:r>
      <w:bookmarkEnd w:id="61"/>
      <w:bookmarkEnd w:id="62"/>
    </w:p>
    <w:p w14:paraId="77AC94B2">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bookmarkStart w:id="63" w:name="_Toc87011416"/>
      <w:bookmarkStart w:id="64" w:name="_Toc32132"/>
      <w:r>
        <w:rPr>
          <w:rFonts w:hint="eastAsia" w:ascii="宋体" w:hAnsi="宋体" w:cs="宋体"/>
          <w:color w:val="auto"/>
          <w:spacing w:val="0"/>
          <w:sz w:val="21"/>
          <w:szCs w:val="21"/>
          <w:lang w:val="en-US" w:eastAsia="zh-CN"/>
        </w:rPr>
        <w:t>1.赛场严格遵守我国环境保护法。</w:t>
      </w:r>
    </w:p>
    <w:p w14:paraId="45D4E474">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2.赛场所有废弃物应有效分类并处理，尽可能地回收利用。</w:t>
      </w:r>
    </w:p>
    <w:p w14:paraId="0D76A415">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3.赛场设置排烟除尘系统，尽可能地减少和控制烟尘。</w:t>
      </w:r>
    </w:p>
    <w:p w14:paraId="0A9008F0">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420" w:firstLineChars="200"/>
        <w:jc w:val="both"/>
        <w:textAlignment w:val="baseline"/>
        <w:rPr>
          <w:rFonts w:hint="eastAsia" w:ascii="宋体" w:hAnsi="宋体" w:cs="宋体"/>
          <w:color w:val="auto"/>
          <w:spacing w:val="0"/>
          <w:sz w:val="21"/>
          <w:szCs w:val="21"/>
          <w:lang w:val="en-US" w:eastAsia="zh-CN"/>
        </w:rPr>
      </w:pPr>
      <w:r>
        <w:rPr>
          <w:rFonts w:hint="eastAsia" w:ascii="宋体" w:hAnsi="宋体" w:cs="宋体"/>
          <w:color w:val="auto"/>
          <w:spacing w:val="0"/>
          <w:sz w:val="21"/>
          <w:szCs w:val="21"/>
          <w:lang w:val="en-US" w:eastAsia="zh-CN"/>
        </w:rPr>
        <w:t xml:space="preserve">4.竞赛相关人员，要注意保持环境整洁卫生，垃圾集中存放。 </w:t>
      </w:r>
    </w:p>
    <w:p w14:paraId="5EE1B72A">
      <w:pPr>
        <w:keepNext w:val="0"/>
        <w:keepLines w:val="0"/>
        <w:pageBreakBefore w:val="0"/>
        <w:widowControl w:val="0"/>
        <w:kinsoku/>
        <w:wordWrap/>
        <w:overflowPunct/>
        <w:topLinePunct w:val="0"/>
        <w:autoSpaceDE w:val="0"/>
        <w:autoSpaceDN w:val="0"/>
        <w:bidi w:val="0"/>
        <w:snapToGrid/>
        <w:ind w:firstLine="420" w:firstLineChars="200"/>
        <w:rPr>
          <w:rFonts w:ascii="宋体" w:hAnsi="宋体" w:cs="宋体"/>
          <w:color w:val="auto"/>
          <w:spacing w:val="0"/>
          <w:sz w:val="21"/>
          <w:szCs w:val="21"/>
        </w:rPr>
      </w:pPr>
      <w:r>
        <w:rPr>
          <w:rFonts w:hint="eastAsia" w:ascii="宋体" w:hAnsi="宋体" w:cs="宋体"/>
          <w:color w:val="auto"/>
          <w:spacing w:val="0"/>
          <w:sz w:val="21"/>
          <w:szCs w:val="21"/>
          <w:lang w:val="en-US" w:eastAsia="zh-CN"/>
        </w:rPr>
        <w:t>5.每场竞赛结束后，选手要做到工完场清，赛场保洁人员要保障赛场整体的环境卫生，安全、整洁、有序。</w:t>
      </w:r>
      <w:bookmarkEnd w:id="63"/>
      <w:bookmarkEnd w:id="64"/>
    </w:p>
    <w:p w14:paraId="4704981E">
      <w:pPr>
        <w:pStyle w:val="4"/>
        <w:keepNext w:val="0"/>
        <w:keepLines w:val="0"/>
        <w:pageBreakBefore w:val="0"/>
        <w:widowControl w:val="0"/>
        <w:kinsoku/>
        <w:wordWrap/>
        <w:overflowPunct/>
        <w:topLinePunct w:val="0"/>
        <w:autoSpaceDE w:val="0"/>
        <w:autoSpaceDN w:val="0"/>
        <w:bidi w:val="0"/>
        <w:snapToGrid/>
        <w:spacing w:after="0" w:line="540" w:lineRule="exact"/>
        <w:ind w:left="0" w:leftChars="0" w:firstLine="560" w:firstLineChars="200"/>
        <w:outlineLvl w:val="0"/>
        <w:rPr>
          <w:rFonts w:hint="eastAsia" w:ascii="宋体" w:hAnsi="宋体" w:cs="宋体"/>
          <w:color w:val="auto"/>
          <w:spacing w:val="0"/>
          <w:sz w:val="28"/>
          <w:szCs w:val="28"/>
        </w:rPr>
      </w:pPr>
      <w:bookmarkStart w:id="65" w:name="_Toc87011417"/>
      <w:bookmarkStart w:id="66" w:name="_Toc1095"/>
    </w:p>
    <w:p w14:paraId="2B09CF88">
      <w:pPr>
        <w:pStyle w:val="4"/>
        <w:keepNext w:val="0"/>
        <w:keepLines w:val="0"/>
        <w:pageBreakBefore w:val="0"/>
        <w:widowControl w:val="0"/>
        <w:kinsoku/>
        <w:wordWrap/>
        <w:overflowPunct/>
        <w:topLinePunct w:val="0"/>
        <w:autoSpaceDE w:val="0"/>
        <w:autoSpaceDN w:val="0"/>
        <w:bidi w:val="0"/>
        <w:spacing w:after="0" w:line="540" w:lineRule="exact"/>
        <w:ind w:left="0" w:leftChars="0"/>
        <w:outlineLvl w:val="0"/>
        <w:rPr>
          <w:rFonts w:hint="eastAsia" w:ascii="宋体" w:hAnsi="宋体" w:cs="宋体"/>
          <w:color w:val="auto"/>
          <w:sz w:val="28"/>
          <w:szCs w:val="28"/>
        </w:rPr>
      </w:pPr>
    </w:p>
    <w:p w14:paraId="2FB2E6C5">
      <w:pPr>
        <w:pStyle w:val="4"/>
        <w:keepNext w:val="0"/>
        <w:keepLines w:val="0"/>
        <w:pageBreakBefore w:val="0"/>
        <w:widowControl w:val="0"/>
        <w:kinsoku/>
        <w:wordWrap/>
        <w:overflowPunct/>
        <w:topLinePunct w:val="0"/>
        <w:autoSpaceDE w:val="0"/>
        <w:autoSpaceDN w:val="0"/>
        <w:bidi w:val="0"/>
        <w:spacing w:after="0" w:line="540" w:lineRule="exact"/>
        <w:ind w:left="0" w:leftChars="0"/>
        <w:outlineLvl w:val="0"/>
        <w:rPr>
          <w:rFonts w:hint="eastAsia" w:ascii="宋体" w:hAnsi="宋体" w:cs="宋体"/>
          <w:color w:val="auto"/>
          <w:sz w:val="28"/>
          <w:szCs w:val="28"/>
        </w:rPr>
      </w:pPr>
    </w:p>
    <w:p w14:paraId="70661253">
      <w:pPr>
        <w:pStyle w:val="4"/>
        <w:keepNext w:val="0"/>
        <w:keepLines w:val="0"/>
        <w:pageBreakBefore w:val="0"/>
        <w:widowControl w:val="0"/>
        <w:kinsoku/>
        <w:wordWrap/>
        <w:overflowPunct/>
        <w:topLinePunct w:val="0"/>
        <w:autoSpaceDE w:val="0"/>
        <w:autoSpaceDN w:val="0"/>
        <w:bidi w:val="0"/>
        <w:spacing w:after="0" w:line="540" w:lineRule="exact"/>
        <w:ind w:left="0" w:leftChars="0"/>
        <w:outlineLvl w:val="0"/>
        <w:rPr>
          <w:rFonts w:hint="eastAsia" w:ascii="宋体" w:hAnsi="宋体" w:cs="宋体"/>
          <w:color w:val="auto"/>
          <w:sz w:val="28"/>
          <w:szCs w:val="28"/>
        </w:rPr>
      </w:pPr>
    </w:p>
    <w:p w14:paraId="5BA0B1AC">
      <w:pPr>
        <w:pStyle w:val="4"/>
        <w:keepNext w:val="0"/>
        <w:keepLines w:val="0"/>
        <w:pageBreakBefore w:val="0"/>
        <w:widowControl w:val="0"/>
        <w:kinsoku/>
        <w:wordWrap/>
        <w:overflowPunct/>
        <w:topLinePunct w:val="0"/>
        <w:autoSpaceDE w:val="0"/>
        <w:autoSpaceDN w:val="0"/>
        <w:bidi w:val="0"/>
        <w:spacing w:after="0" w:line="540" w:lineRule="exact"/>
        <w:ind w:left="0" w:leftChars="0"/>
        <w:outlineLvl w:val="0"/>
        <w:rPr>
          <w:rFonts w:hint="eastAsia" w:ascii="宋体" w:hAnsi="宋体" w:cs="宋体"/>
          <w:color w:val="auto"/>
          <w:sz w:val="28"/>
          <w:szCs w:val="28"/>
        </w:rPr>
      </w:pPr>
    </w:p>
    <w:p w14:paraId="27647899">
      <w:pPr>
        <w:pStyle w:val="4"/>
        <w:keepNext w:val="0"/>
        <w:keepLines w:val="0"/>
        <w:pageBreakBefore w:val="0"/>
        <w:widowControl w:val="0"/>
        <w:kinsoku/>
        <w:wordWrap/>
        <w:overflowPunct/>
        <w:topLinePunct w:val="0"/>
        <w:autoSpaceDE w:val="0"/>
        <w:autoSpaceDN w:val="0"/>
        <w:bidi w:val="0"/>
        <w:spacing w:after="0" w:line="540" w:lineRule="exact"/>
        <w:ind w:left="0" w:leftChars="0"/>
        <w:outlineLvl w:val="0"/>
        <w:rPr>
          <w:rFonts w:hint="eastAsia" w:ascii="宋体" w:hAnsi="宋体" w:cs="宋体"/>
          <w:color w:val="auto"/>
          <w:sz w:val="28"/>
          <w:szCs w:val="28"/>
        </w:rPr>
      </w:pPr>
    </w:p>
    <w:p w14:paraId="4563C991">
      <w:pPr>
        <w:pStyle w:val="4"/>
        <w:keepNext w:val="0"/>
        <w:keepLines w:val="0"/>
        <w:pageBreakBefore w:val="0"/>
        <w:widowControl w:val="0"/>
        <w:kinsoku/>
        <w:wordWrap/>
        <w:overflowPunct/>
        <w:topLinePunct w:val="0"/>
        <w:autoSpaceDE w:val="0"/>
        <w:autoSpaceDN w:val="0"/>
        <w:bidi w:val="0"/>
        <w:spacing w:after="0" w:line="540" w:lineRule="exact"/>
        <w:ind w:left="0" w:leftChars="0"/>
        <w:outlineLvl w:val="0"/>
        <w:rPr>
          <w:rFonts w:hint="eastAsia" w:ascii="宋体" w:hAnsi="宋体" w:cs="宋体"/>
          <w:color w:val="auto"/>
          <w:sz w:val="28"/>
          <w:szCs w:val="28"/>
        </w:rPr>
      </w:pPr>
    </w:p>
    <w:p w14:paraId="3D21CC35">
      <w:pPr>
        <w:pStyle w:val="4"/>
        <w:keepNext w:val="0"/>
        <w:keepLines w:val="0"/>
        <w:pageBreakBefore w:val="0"/>
        <w:widowControl w:val="0"/>
        <w:kinsoku/>
        <w:wordWrap/>
        <w:overflowPunct/>
        <w:topLinePunct w:val="0"/>
        <w:autoSpaceDE w:val="0"/>
        <w:autoSpaceDN w:val="0"/>
        <w:bidi w:val="0"/>
        <w:spacing w:after="0" w:line="540" w:lineRule="exact"/>
        <w:ind w:left="0" w:leftChars="0"/>
        <w:outlineLvl w:val="0"/>
        <w:rPr>
          <w:rFonts w:hint="eastAsia" w:ascii="宋体" w:hAnsi="宋体" w:cs="宋体"/>
          <w:color w:val="auto"/>
          <w:sz w:val="28"/>
          <w:szCs w:val="28"/>
        </w:rPr>
      </w:pPr>
    </w:p>
    <w:p w14:paraId="6C53EC8A">
      <w:pPr>
        <w:pStyle w:val="4"/>
        <w:keepNext w:val="0"/>
        <w:keepLines w:val="0"/>
        <w:pageBreakBefore w:val="0"/>
        <w:widowControl w:val="0"/>
        <w:kinsoku/>
        <w:wordWrap/>
        <w:overflowPunct/>
        <w:topLinePunct w:val="0"/>
        <w:autoSpaceDE w:val="0"/>
        <w:autoSpaceDN w:val="0"/>
        <w:bidi w:val="0"/>
        <w:spacing w:after="0" w:line="540" w:lineRule="exact"/>
        <w:ind w:left="0" w:leftChars="0"/>
        <w:outlineLvl w:val="0"/>
        <w:rPr>
          <w:rFonts w:hint="eastAsia" w:ascii="宋体" w:hAnsi="宋体" w:cs="宋体"/>
          <w:color w:val="auto"/>
          <w:sz w:val="28"/>
          <w:szCs w:val="28"/>
        </w:rPr>
      </w:pPr>
    </w:p>
    <w:p w14:paraId="2EEE3419">
      <w:pPr>
        <w:pStyle w:val="4"/>
        <w:keepNext w:val="0"/>
        <w:keepLines w:val="0"/>
        <w:pageBreakBefore w:val="0"/>
        <w:widowControl w:val="0"/>
        <w:kinsoku/>
        <w:wordWrap/>
        <w:overflowPunct/>
        <w:topLinePunct w:val="0"/>
        <w:autoSpaceDE w:val="0"/>
        <w:autoSpaceDN w:val="0"/>
        <w:bidi w:val="0"/>
        <w:spacing w:after="0" w:line="540" w:lineRule="exact"/>
        <w:ind w:left="0" w:leftChars="0"/>
        <w:outlineLvl w:val="0"/>
        <w:rPr>
          <w:rFonts w:hint="eastAsia" w:ascii="宋体" w:hAnsi="宋体" w:cs="宋体"/>
          <w:color w:val="auto"/>
          <w:sz w:val="28"/>
          <w:szCs w:val="28"/>
        </w:rPr>
      </w:pPr>
    </w:p>
    <w:p w14:paraId="7C506EC7">
      <w:pPr>
        <w:pStyle w:val="4"/>
        <w:keepNext w:val="0"/>
        <w:keepLines w:val="0"/>
        <w:pageBreakBefore w:val="0"/>
        <w:widowControl w:val="0"/>
        <w:kinsoku/>
        <w:wordWrap/>
        <w:overflowPunct/>
        <w:topLinePunct w:val="0"/>
        <w:autoSpaceDE w:val="0"/>
        <w:autoSpaceDN w:val="0"/>
        <w:bidi w:val="0"/>
        <w:spacing w:after="0" w:line="540" w:lineRule="exact"/>
        <w:ind w:left="0" w:leftChars="0"/>
        <w:outlineLvl w:val="0"/>
        <w:rPr>
          <w:rFonts w:hint="eastAsia" w:ascii="宋体" w:hAnsi="宋体" w:cs="宋体"/>
          <w:color w:val="auto"/>
          <w:sz w:val="28"/>
          <w:szCs w:val="28"/>
        </w:rPr>
      </w:pPr>
    </w:p>
    <w:p w14:paraId="282239D5">
      <w:pPr>
        <w:pStyle w:val="4"/>
        <w:keepNext w:val="0"/>
        <w:keepLines w:val="0"/>
        <w:pageBreakBefore w:val="0"/>
        <w:widowControl w:val="0"/>
        <w:kinsoku/>
        <w:wordWrap/>
        <w:overflowPunct/>
        <w:topLinePunct w:val="0"/>
        <w:autoSpaceDE w:val="0"/>
        <w:autoSpaceDN w:val="0"/>
        <w:bidi w:val="0"/>
        <w:spacing w:after="0" w:line="540" w:lineRule="exact"/>
        <w:ind w:left="0" w:leftChars="0"/>
        <w:outlineLvl w:val="0"/>
        <w:rPr>
          <w:rFonts w:hint="eastAsia" w:ascii="宋体" w:hAnsi="宋体" w:eastAsia="宋体" w:cs="宋体"/>
          <w:color w:val="auto"/>
          <w:sz w:val="21"/>
          <w:szCs w:val="21"/>
        </w:rPr>
      </w:pPr>
      <w:r>
        <w:rPr>
          <w:rFonts w:hint="eastAsia" w:ascii="宋体" w:hAnsi="宋体" w:eastAsia="宋体" w:cs="宋体"/>
          <w:color w:val="auto"/>
          <w:sz w:val="21"/>
          <w:szCs w:val="21"/>
        </w:rPr>
        <w:t>附件：</w:t>
      </w:r>
      <w:bookmarkEnd w:id="65"/>
      <w:bookmarkEnd w:id="66"/>
    </w:p>
    <w:p w14:paraId="61CCAA6B">
      <w:pPr>
        <w:keepNext w:val="0"/>
        <w:keepLines w:val="0"/>
        <w:pageBreakBefore w:val="0"/>
        <w:widowControl w:val="0"/>
        <w:kinsoku/>
        <w:wordWrap/>
        <w:overflowPunct/>
        <w:topLinePunct w:val="0"/>
        <w:autoSpaceDE w:val="0"/>
        <w:autoSpaceDN w:val="0"/>
        <w:bidi w:val="0"/>
        <w:snapToGrid w:val="0"/>
        <w:spacing w:line="560" w:lineRule="exact"/>
        <w:jc w:val="left"/>
        <w:rPr>
          <w:rFonts w:hint="eastAsia" w:ascii="宋体" w:hAnsi="宋体" w:eastAsia="宋体" w:cs="宋体"/>
          <w:b/>
          <w:bCs/>
          <w:color w:val="auto"/>
          <w:sz w:val="21"/>
          <w:szCs w:val="21"/>
        </w:rPr>
      </w:pPr>
      <w:r>
        <w:rPr>
          <w:rFonts w:hint="eastAsia" w:ascii="宋体" w:hAnsi="宋体" w:eastAsia="宋体" w:cs="宋体"/>
          <w:b/>
          <w:bCs/>
          <w:color w:val="auto"/>
          <w:sz w:val="21"/>
          <w:szCs w:val="21"/>
        </w:rPr>
        <w:t>附件1</w:t>
      </w:r>
    </w:p>
    <w:p w14:paraId="65DED96F">
      <w:pPr>
        <w:keepNext w:val="0"/>
        <w:keepLines w:val="0"/>
        <w:pageBreakBefore w:val="0"/>
        <w:widowControl w:val="0"/>
        <w:kinsoku/>
        <w:wordWrap/>
        <w:overflowPunct/>
        <w:topLinePunct w:val="0"/>
        <w:autoSpaceDE w:val="0"/>
        <w:autoSpaceDN w:val="0"/>
        <w:bidi w:val="0"/>
        <w:spacing w:after="156" w:line="480" w:lineRule="exact"/>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附表</w:t>
      </w:r>
      <w:r>
        <w:rPr>
          <w:rFonts w:hint="eastAsia" w:ascii="宋体" w:hAnsi="宋体" w:eastAsia="宋体" w:cs="宋体"/>
          <w:b/>
          <w:bCs/>
          <w:color w:val="auto"/>
          <w:sz w:val="21"/>
          <w:szCs w:val="21"/>
          <w:lang w:val="en-US" w:eastAsia="zh-CN"/>
        </w:rPr>
        <w:t>1</w:t>
      </w:r>
      <w:r>
        <w:rPr>
          <w:rFonts w:hint="eastAsia" w:ascii="宋体" w:hAnsi="宋体" w:eastAsia="宋体" w:cs="宋体"/>
          <w:b/>
          <w:bCs/>
          <w:color w:val="auto"/>
          <w:sz w:val="21"/>
          <w:szCs w:val="21"/>
        </w:rPr>
        <w:t xml:space="preserve">  光学瓦斯检定器的选定、故障判断评分标准记录表</w:t>
      </w:r>
    </w:p>
    <w:p w14:paraId="031424B8">
      <w:pPr>
        <w:pStyle w:val="16"/>
        <w:keepNext w:val="0"/>
        <w:keepLines w:val="0"/>
        <w:pageBreakBefore w:val="0"/>
        <w:widowControl w:val="0"/>
        <w:tabs>
          <w:tab w:val="center" w:pos="4153"/>
          <w:tab w:val="right" w:pos="8306"/>
        </w:tabs>
        <w:kinsoku/>
        <w:wordWrap/>
        <w:overflowPunct/>
        <w:topLinePunct w:val="0"/>
        <w:autoSpaceDE w:val="0"/>
        <w:autoSpaceDN w:val="0"/>
        <w:bidi w:val="0"/>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参赛场次：</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 xml:space="preserve">      </w:t>
      </w:r>
      <w:r>
        <w:rPr>
          <w:rFonts w:hint="eastAsia" w:ascii="宋体" w:hAnsi="宋体" w:eastAsia="宋体" w:cs="宋体"/>
          <w:b/>
          <w:bCs/>
          <w:color w:val="auto"/>
          <w:sz w:val="21"/>
          <w:szCs w:val="21"/>
        </w:rPr>
        <w:t xml:space="preserve">    工位编号：</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 xml:space="preserve">        </w:t>
      </w:r>
      <w:r>
        <w:rPr>
          <w:rFonts w:hint="eastAsia" w:ascii="宋体" w:hAnsi="宋体" w:eastAsia="宋体" w:cs="宋体"/>
          <w:b/>
          <w:bCs/>
          <w:color w:val="auto"/>
          <w:sz w:val="21"/>
          <w:szCs w:val="21"/>
        </w:rPr>
        <w:t xml:space="preserve">          选手编号：</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 xml:space="preserve">      </w:t>
      </w:r>
      <w:r>
        <w:rPr>
          <w:rFonts w:hint="eastAsia" w:ascii="宋体" w:hAnsi="宋体" w:eastAsia="宋体" w:cs="宋体"/>
          <w:b/>
          <w:bCs/>
          <w:color w:val="auto"/>
          <w:sz w:val="21"/>
          <w:szCs w:val="21"/>
          <w:u w:val="single"/>
        </w:rPr>
        <w:t xml:space="preserve"> </w:t>
      </w:r>
      <w:r>
        <w:rPr>
          <w:rFonts w:hint="eastAsia" w:ascii="宋体" w:hAnsi="宋体" w:eastAsia="宋体" w:cs="宋体"/>
          <w:b/>
          <w:color w:val="auto"/>
          <w:sz w:val="21"/>
          <w:szCs w:val="21"/>
        </w:rPr>
        <w:t xml:space="preserve"> </w:t>
      </w:r>
    </w:p>
    <w:tbl>
      <w:tblPr>
        <w:tblStyle w:val="11"/>
        <w:tblW w:w="9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6150"/>
        <w:gridCol w:w="1887"/>
      </w:tblGrid>
      <w:tr w14:paraId="3846E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Align w:val="top"/>
          </w:tcPr>
          <w:p w14:paraId="2D1BB487">
            <w:pPr>
              <w:keepNext w:val="0"/>
              <w:keepLines w:val="0"/>
              <w:pageBreakBefore w:val="0"/>
              <w:widowControl w:val="0"/>
              <w:kinsoku/>
              <w:wordWrap/>
              <w:overflowPunct/>
              <w:topLinePunct w:val="0"/>
              <w:autoSpaceDE w:val="0"/>
              <w:autoSpaceDN w:val="0"/>
              <w:bidi w:val="0"/>
              <w:spacing w:after="156" w:line="480" w:lineRule="exact"/>
              <w:rPr>
                <w:rFonts w:hint="eastAsia" w:ascii="宋体" w:hAnsi="宋体" w:eastAsia="宋体" w:cs="宋体"/>
                <w:b/>
                <w:color w:val="auto"/>
                <w:sz w:val="21"/>
                <w:szCs w:val="21"/>
              </w:rPr>
            </w:pPr>
            <w:r>
              <w:rPr>
                <w:rFonts w:hint="eastAsia" w:ascii="宋体" w:hAnsi="宋体" w:eastAsia="宋体" w:cs="宋体"/>
                <w:b/>
                <w:color w:val="auto"/>
                <w:sz w:val="21"/>
                <w:szCs w:val="21"/>
              </w:rPr>
              <w:t>仪器编号</w:t>
            </w:r>
          </w:p>
        </w:tc>
        <w:tc>
          <w:tcPr>
            <w:tcW w:w="6150" w:type="dxa"/>
            <w:vAlign w:val="center"/>
          </w:tcPr>
          <w:p w14:paraId="075A5BB2">
            <w:pPr>
              <w:keepNext w:val="0"/>
              <w:keepLines w:val="0"/>
              <w:pageBreakBefore w:val="0"/>
              <w:widowControl w:val="0"/>
              <w:kinsoku/>
              <w:wordWrap/>
              <w:overflowPunct/>
              <w:topLinePunct w:val="0"/>
              <w:autoSpaceDE w:val="0"/>
              <w:autoSpaceDN w:val="0"/>
              <w:bidi w:val="0"/>
              <w:spacing w:after="156" w:line="480" w:lineRule="exact"/>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故障类型</w:t>
            </w:r>
          </w:p>
        </w:tc>
        <w:tc>
          <w:tcPr>
            <w:tcW w:w="1887" w:type="dxa"/>
            <w:vAlign w:val="center"/>
          </w:tcPr>
          <w:p w14:paraId="40B3B5C7">
            <w:pPr>
              <w:keepNext w:val="0"/>
              <w:keepLines w:val="0"/>
              <w:pageBreakBefore w:val="0"/>
              <w:widowControl w:val="0"/>
              <w:kinsoku/>
              <w:wordWrap/>
              <w:overflowPunct/>
              <w:topLinePunct w:val="0"/>
              <w:autoSpaceDE w:val="0"/>
              <w:autoSpaceDN w:val="0"/>
              <w:bidi w:val="0"/>
              <w:spacing w:after="156" w:line="480" w:lineRule="exact"/>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扣分</w:t>
            </w:r>
          </w:p>
        </w:tc>
      </w:tr>
      <w:tr w14:paraId="61413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9" w:hRule="atLeast"/>
          <w:jc w:val="center"/>
        </w:trPr>
        <w:tc>
          <w:tcPr>
            <w:tcW w:w="1538" w:type="dxa"/>
            <w:vAlign w:val="center"/>
          </w:tcPr>
          <w:p w14:paraId="395C2F4C">
            <w:pPr>
              <w:keepNext w:val="0"/>
              <w:keepLines w:val="0"/>
              <w:pageBreakBefore w:val="0"/>
              <w:widowControl w:val="0"/>
              <w:kinsoku/>
              <w:wordWrap/>
              <w:overflowPunct/>
              <w:topLinePunct w:val="0"/>
              <w:autoSpaceDE w:val="0"/>
              <w:autoSpaceDN w:val="0"/>
              <w:bidi w:val="0"/>
              <w:spacing w:after="156" w:line="480" w:lineRule="exact"/>
              <w:ind w:firstLine="211" w:firstLineChars="100"/>
              <w:rPr>
                <w:rFonts w:hint="eastAsia" w:ascii="宋体" w:hAnsi="宋体" w:eastAsia="宋体" w:cs="宋体"/>
                <w:b/>
                <w:color w:val="auto"/>
                <w:sz w:val="21"/>
                <w:szCs w:val="21"/>
                <w:u w:val="single"/>
              </w:rPr>
            </w:pPr>
            <w:r>
              <w:rPr>
                <w:rFonts w:hint="eastAsia" w:ascii="宋体" w:hAnsi="宋体" w:eastAsia="宋体" w:cs="宋体"/>
                <w:b/>
                <w:color w:val="auto"/>
                <w:sz w:val="21"/>
                <w:szCs w:val="21"/>
                <w:u w:val="single"/>
              </w:rPr>
              <w:t xml:space="preserve"> 1  </w:t>
            </w:r>
            <w:r>
              <w:rPr>
                <w:rFonts w:hint="eastAsia" w:ascii="宋体" w:hAnsi="宋体" w:eastAsia="宋体" w:cs="宋体"/>
                <w:b/>
                <w:color w:val="auto"/>
                <w:sz w:val="21"/>
                <w:szCs w:val="21"/>
              </w:rPr>
              <w:t>号</w:t>
            </w:r>
          </w:p>
          <w:p w14:paraId="6F7E684E">
            <w:pPr>
              <w:keepNext w:val="0"/>
              <w:keepLines w:val="0"/>
              <w:pageBreakBefore w:val="0"/>
              <w:widowControl w:val="0"/>
              <w:kinsoku/>
              <w:wordWrap/>
              <w:overflowPunct/>
              <w:topLinePunct w:val="0"/>
              <w:autoSpaceDE w:val="0"/>
              <w:autoSpaceDN w:val="0"/>
              <w:bidi w:val="0"/>
              <w:spacing w:after="156" w:line="480" w:lineRule="exact"/>
              <w:ind w:firstLine="211" w:firstLineChars="10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仪器</w:t>
            </w:r>
          </w:p>
        </w:tc>
        <w:tc>
          <w:tcPr>
            <w:tcW w:w="6150" w:type="dxa"/>
            <w:vAlign w:val="top"/>
          </w:tcPr>
          <w:p w14:paraId="60CA8E2E">
            <w:pPr>
              <w:keepNext w:val="0"/>
              <w:keepLines w:val="0"/>
              <w:pageBreakBefore w:val="0"/>
              <w:widowControl w:val="0"/>
              <w:kinsoku/>
              <w:wordWrap/>
              <w:overflowPunct/>
              <w:topLinePunct w:val="0"/>
              <w:autoSpaceDE w:val="0"/>
              <w:autoSpaceDN w:val="0"/>
              <w:bidi w:val="0"/>
              <w:spacing w:after="156" w:line="480" w:lineRule="exact"/>
              <w:rPr>
                <w:rFonts w:hint="eastAsia" w:ascii="宋体" w:hAnsi="宋体" w:eastAsia="宋体" w:cs="宋体"/>
                <w:bCs/>
                <w:color w:val="auto"/>
                <w:sz w:val="21"/>
                <w:szCs w:val="21"/>
              </w:rPr>
            </w:pPr>
          </w:p>
        </w:tc>
        <w:tc>
          <w:tcPr>
            <w:tcW w:w="1887" w:type="dxa"/>
            <w:vAlign w:val="top"/>
          </w:tcPr>
          <w:p w14:paraId="014FF818">
            <w:pPr>
              <w:keepNext w:val="0"/>
              <w:keepLines w:val="0"/>
              <w:pageBreakBefore w:val="0"/>
              <w:widowControl w:val="0"/>
              <w:kinsoku/>
              <w:wordWrap/>
              <w:overflowPunct/>
              <w:topLinePunct w:val="0"/>
              <w:autoSpaceDE w:val="0"/>
              <w:autoSpaceDN w:val="0"/>
              <w:bidi w:val="0"/>
              <w:spacing w:after="156" w:line="480" w:lineRule="exact"/>
              <w:rPr>
                <w:rFonts w:hint="eastAsia" w:ascii="宋体" w:hAnsi="宋体" w:eastAsia="宋体" w:cs="宋体"/>
                <w:bCs/>
                <w:color w:val="auto"/>
                <w:sz w:val="21"/>
                <w:szCs w:val="21"/>
              </w:rPr>
            </w:pPr>
          </w:p>
        </w:tc>
      </w:tr>
      <w:tr w14:paraId="2E0AD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0" w:hRule="atLeast"/>
          <w:jc w:val="center"/>
        </w:trPr>
        <w:tc>
          <w:tcPr>
            <w:tcW w:w="1538" w:type="dxa"/>
            <w:vAlign w:val="center"/>
          </w:tcPr>
          <w:p w14:paraId="28B727B1">
            <w:pPr>
              <w:keepNext w:val="0"/>
              <w:keepLines w:val="0"/>
              <w:pageBreakBefore w:val="0"/>
              <w:widowControl w:val="0"/>
              <w:kinsoku/>
              <w:wordWrap/>
              <w:overflowPunct/>
              <w:topLinePunct w:val="0"/>
              <w:autoSpaceDE w:val="0"/>
              <w:autoSpaceDN w:val="0"/>
              <w:bidi w:val="0"/>
              <w:spacing w:after="156" w:line="480" w:lineRule="exact"/>
              <w:ind w:firstLine="211" w:firstLineChars="100"/>
              <w:rPr>
                <w:rFonts w:hint="eastAsia" w:ascii="宋体" w:hAnsi="宋体" w:eastAsia="宋体" w:cs="宋体"/>
                <w:b/>
                <w:color w:val="auto"/>
                <w:sz w:val="21"/>
                <w:szCs w:val="21"/>
                <w:u w:val="single"/>
              </w:rPr>
            </w:pPr>
            <w:r>
              <w:rPr>
                <w:rFonts w:hint="eastAsia" w:ascii="宋体" w:hAnsi="宋体" w:eastAsia="宋体" w:cs="宋体"/>
                <w:b/>
                <w:color w:val="auto"/>
                <w:sz w:val="21"/>
                <w:szCs w:val="21"/>
                <w:u w:val="single"/>
              </w:rPr>
              <w:t xml:space="preserve"> 2  </w:t>
            </w:r>
            <w:r>
              <w:rPr>
                <w:rFonts w:hint="eastAsia" w:ascii="宋体" w:hAnsi="宋体" w:eastAsia="宋体" w:cs="宋体"/>
                <w:b/>
                <w:color w:val="auto"/>
                <w:sz w:val="21"/>
                <w:szCs w:val="21"/>
              </w:rPr>
              <w:t>号</w:t>
            </w:r>
          </w:p>
          <w:p w14:paraId="40A11AF1">
            <w:pPr>
              <w:keepNext w:val="0"/>
              <w:keepLines w:val="0"/>
              <w:pageBreakBefore w:val="0"/>
              <w:widowControl w:val="0"/>
              <w:kinsoku/>
              <w:wordWrap/>
              <w:overflowPunct/>
              <w:topLinePunct w:val="0"/>
              <w:autoSpaceDE w:val="0"/>
              <w:autoSpaceDN w:val="0"/>
              <w:bidi w:val="0"/>
              <w:spacing w:after="156" w:line="480" w:lineRule="exact"/>
              <w:ind w:firstLine="211" w:firstLineChars="10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仪器</w:t>
            </w:r>
          </w:p>
        </w:tc>
        <w:tc>
          <w:tcPr>
            <w:tcW w:w="6150" w:type="dxa"/>
            <w:vAlign w:val="top"/>
          </w:tcPr>
          <w:p w14:paraId="130ECD47">
            <w:pPr>
              <w:keepNext w:val="0"/>
              <w:keepLines w:val="0"/>
              <w:pageBreakBefore w:val="0"/>
              <w:widowControl w:val="0"/>
              <w:kinsoku/>
              <w:wordWrap/>
              <w:overflowPunct/>
              <w:topLinePunct w:val="0"/>
              <w:autoSpaceDE w:val="0"/>
              <w:autoSpaceDN w:val="0"/>
              <w:bidi w:val="0"/>
              <w:spacing w:after="156" w:line="480" w:lineRule="exact"/>
              <w:rPr>
                <w:rFonts w:hint="eastAsia" w:ascii="宋体" w:hAnsi="宋体" w:eastAsia="宋体" w:cs="宋体"/>
                <w:bCs/>
                <w:color w:val="auto"/>
                <w:sz w:val="21"/>
                <w:szCs w:val="21"/>
              </w:rPr>
            </w:pPr>
          </w:p>
        </w:tc>
        <w:tc>
          <w:tcPr>
            <w:tcW w:w="1887" w:type="dxa"/>
            <w:vAlign w:val="top"/>
          </w:tcPr>
          <w:p w14:paraId="54B47719">
            <w:pPr>
              <w:keepNext w:val="0"/>
              <w:keepLines w:val="0"/>
              <w:pageBreakBefore w:val="0"/>
              <w:widowControl w:val="0"/>
              <w:kinsoku/>
              <w:wordWrap/>
              <w:overflowPunct/>
              <w:topLinePunct w:val="0"/>
              <w:autoSpaceDE w:val="0"/>
              <w:autoSpaceDN w:val="0"/>
              <w:bidi w:val="0"/>
              <w:spacing w:after="156" w:line="480" w:lineRule="exact"/>
              <w:rPr>
                <w:rFonts w:hint="eastAsia" w:ascii="宋体" w:hAnsi="宋体" w:eastAsia="宋体" w:cs="宋体"/>
                <w:bCs/>
                <w:color w:val="auto"/>
                <w:sz w:val="21"/>
                <w:szCs w:val="21"/>
              </w:rPr>
            </w:pPr>
          </w:p>
        </w:tc>
      </w:tr>
      <w:tr w14:paraId="5280A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8" w:hRule="atLeast"/>
          <w:jc w:val="center"/>
        </w:trPr>
        <w:tc>
          <w:tcPr>
            <w:tcW w:w="1538" w:type="dxa"/>
            <w:vAlign w:val="center"/>
          </w:tcPr>
          <w:p w14:paraId="0B69255C">
            <w:pPr>
              <w:keepNext w:val="0"/>
              <w:keepLines w:val="0"/>
              <w:pageBreakBefore w:val="0"/>
              <w:widowControl w:val="0"/>
              <w:kinsoku/>
              <w:wordWrap/>
              <w:overflowPunct/>
              <w:topLinePunct w:val="0"/>
              <w:autoSpaceDE w:val="0"/>
              <w:autoSpaceDN w:val="0"/>
              <w:bidi w:val="0"/>
              <w:spacing w:after="156" w:line="480" w:lineRule="exact"/>
              <w:ind w:firstLine="211" w:firstLineChars="100"/>
              <w:rPr>
                <w:rFonts w:hint="eastAsia" w:ascii="宋体" w:hAnsi="宋体" w:eastAsia="宋体" w:cs="宋体"/>
                <w:b/>
                <w:color w:val="auto"/>
                <w:sz w:val="21"/>
                <w:szCs w:val="21"/>
                <w:u w:val="single"/>
              </w:rPr>
            </w:pPr>
            <w:r>
              <w:rPr>
                <w:rFonts w:hint="eastAsia" w:ascii="宋体" w:hAnsi="宋体" w:eastAsia="宋体" w:cs="宋体"/>
                <w:b/>
                <w:color w:val="auto"/>
                <w:sz w:val="21"/>
                <w:szCs w:val="21"/>
                <w:u w:val="single"/>
              </w:rPr>
              <w:t xml:space="preserve"> 3  </w:t>
            </w:r>
            <w:r>
              <w:rPr>
                <w:rFonts w:hint="eastAsia" w:ascii="宋体" w:hAnsi="宋体" w:eastAsia="宋体" w:cs="宋体"/>
                <w:b/>
                <w:color w:val="auto"/>
                <w:sz w:val="21"/>
                <w:szCs w:val="21"/>
              </w:rPr>
              <w:t>号</w:t>
            </w:r>
          </w:p>
          <w:p w14:paraId="0961FBEA">
            <w:pPr>
              <w:keepNext w:val="0"/>
              <w:keepLines w:val="0"/>
              <w:pageBreakBefore w:val="0"/>
              <w:widowControl w:val="0"/>
              <w:kinsoku/>
              <w:wordWrap/>
              <w:overflowPunct/>
              <w:topLinePunct w:val="0"/>
              <w:autoSpaceDE w:val="0"/>
              <w:autoSpaceDN w:val="0"/>
              <w:bidi w:val="0"/>
              <w:spacing w:after="156" w:line="480" w:lineRule="exact"/>
              <w:ind w:firstLine="211" w:firstLineChars="10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仪器</w:t>
            </w:r>
          </w:p>
        </w:tc>
        <w:tc>
          <w:tcPr>
            <w:tcW w:w="6150" w:type="dxa"/>
            <w:vAlign w:val="top"/>
          </w:tcPr>
          <w:p w14:paraId="14C9E1F8">
            <w:pPr>
              <w:keepNext w:val="0"/>
              <w:keepLines w:val="0"/>
              <w:pageBreakBefore w:val="0"/>
              <w:widowControl w:val="0"/>
              <w:kinsoku/>
              <w:wordWrap/>
              <w:overflowPunct/>
              <w:topLinePunct w:val="0"/>
              <w:autoSpaceDE w:val="0"/>
              <w:autoSpaceDN w:val="0"/>
              <w:bidi w:val="0"/>
              <w:spacing w:after="156" w:line="480" w:lineRule="exact"/>
              <w:rPr>
                <w:rFonts w:hint="eastAsia" w:ascii="宋体" w:hAnsi="宋体" w:eastAsia="宋体" w:cs="宋体"/>
                <w:bCs/>
                <w:color w:val="auto"/>
                <w:sz w:val="21"/>
                <w:szCs w:val="21"/>
              </w:rPr>
            </w:pPr>
          </w:p>
        </w:tc>
        <w:tc>
          <w:tcPr>
            <w:tcW w:w="1887" w:type="dxa"/>
            <w:vAlign w:val="top"/>
          </w:tcPr>
          <w:p w14:paraId="6D301F05">
            <w:pPr>
              <w:keepNext w:val="0"/>
              <w:keepLines w:val="0"/>
              <w:pageBreakBefore w:val="0"/>
              <w:widowControl w:val="0"/>
              <w:kinsoku/>
              <w:wordWrap/>
              <w:overflowPunct/>
              <w:topLinePunct w:val="0"/>
              <w:autoSpaceDE w:val="0"/>
              <w:autoSpaceDN w:val="0"/>
              <w:bidi w:val="0"/>
              <w:spacing w:after="156" w:line="480" w:lineRule="exact"/>
              <w:rPr>
                <w:rFonts w:hint="eastAsia" w:ascii="宋体" w:hAnsi="宋体" w:eastAsia="宋体" w:cs="宋体"/>
                <w:bCs/>
                <w:color w:val="auto"/>
                <w:sz w:val="21"/>
                <w:szCs w:val="21"/>
              </w:rPr>
            </w:pPr>
          </w:p>
        </w:tc>
      </w:tr>
      <w:tr w14:paraId="6A520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6" w:hRule="atLeast"/>
          <w:jc w:val="center"/>
        </w:trPr>
        <w:tc>
          <w:tcPr>
            <w:tcW w:w="1538" w:type="dxa"/>
            <w:vAlign w:val="center"/>
          </w:tcPr>
          <w:p w14:paraId="1FE2E695">
            <w:pPr>
              <w:keepNext w:val="0"/>
              <w:keepLines w:val="0"/>
              <w:pageBreakBefore w:val="0"/>
              <w:widowControl w:val="0"/>
              <w:kinsoku/>
              <w:wordWrap/>
              <w:overflowPunct/>
              <w:topLinePunct w:val="0"/>
              <w:autoSpaceDE w:val="0"/>
              <w:autoSpaceDN w:val="0"/>
              <w:bidi w:val="0"/>
              <w:spacing w:after="156" w:line="480" w:lineRule="exact"/>
              <w:ind w:firstLine="211" w:firstLineChars="100"/>
              <w:rPr>
                <w:rFonts w:hint="eastAsia" w:ascii="宋体" w:hAnsi="宋体" w:eastAsia="宋体" w:cs="宋体"/>
                <w:b/>
                <w:color w:val="auto"/>
                <w:sz w:val="21"/>
                <w:szCs w:val="21"/>
                <w:u w:val="single"/>
              </w:rPr>
            </w:pPr>
            <w:r>
              <w:rPr>
                <w:rFonts w:hint="eastAsia" w:ascii="宋体" w:hAnsi="宋体" w:eastAsia="宋体" w:cs="宋体"/>
                <w:b/>
                <w:color w:val="auto"/>
                <w:sz w:val="21"/>
                <w:szCs w:val="21"/>
                <w:u w:val="single"/>
              </w:rPr>
              <w:t xml:space="preserve"> 4  </w:t>
            </w:r>
            <w:r>
              <w:rPr>
                <w:rFonts w:hint="eastAsia" w:ascii="宋体" w:hAnsi="宋体" w:eastAsia="宋体" w:cs="宋体"/>
                <w:b/>
                <w:color w:val="auto"/>
                <w:sz w:val="21"/>
                <w:szCs w:val="21"/>
              </w:rPr>
              <w:t>号</w:t>
            </w:r>
          </w:p>
          <w:p w14:paraId="039AE34F">
            <w:pPr>
              <w:keepNext w:val="0"/>
              <w:keepLines w:val="0"/>
              <w:pageBreakBefore w:val="0"/>
              <w:widowControl w:val="0"/>
              <w:kinsoku/>
              <w:wordWrap/>
              <w:overflowPunct/>
              <w:topLinePunct w:val="0"/>
              <w:autoSpaceDE w:val="0"/>
              <w:autoSpaceDN w:val="0"/>
              <w:bidi w:val="0"/>
              <w:spacing w:after="156" w:line="480" w:lineRule="exact"/>
              <w:ind w:firstLine="211" w:firstLineChars="10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仪器</w:t>
            </w:r>
          </w:p>
        </w:tc>
        <w:tc>
          <w:tcPr>
            <w:tcW w:w="6150" w:type="dxa"/>
            <w:vAlign w:val="top"/>
          </w:tcPr>
          <w:p w14:paraId="443A95D4">
            <w:pPr>
              <w:keepNext w:val="0"/>
              <w:keepLines w:val="0"/>
              <w:pageBreakBefore w:val="0"/>
              <w:widowControl w:val="0"/>
              <w:kinsoku/>
              <w:wordWrap/>
              <w:overflowPunct/>
              <w:topLinePunct w:val="0"/>
              <w:autoSpaceDE w:val="0"/>
              <w:autoSpaceDN w:val="0"/>
              <w:bidi w:val="0"/>
              <w:spacing w:after="156" w:line="480" w:lineRule="exact"/>
              <w:rPr>
                <w:rFonts w:hint="eastAsia" w:ascii="宋体" w:hAnsi="宋体" w:eastAsia="宋体" w:cs="宋体"/>
                <w:bCs/>
                <w:color w:val="auto"/>
                <w:sz w:val="21"/>
                <w:szCs w:val="21"/>
              </w:rPr>
            </w:pPr>
          </w:p>
        </w:tc>
        <w:tc>
          <w:tcPr>
            <w:tcW w:w="1887" w:type="dxa"/>
            <w:vAlign w:val="top"/>
          </w:tcPr>
          <w:p w14:paraId="715AF16C">
            <w:pPr>
              <w:keepNext w:val="0"/>
              <w:keepLines w:val="0"/>
              <w:pageBreakBefore w:val="0"/>
              <w:widowControl w:val="0"/>
              <w:kinsoku/>
              <w:wordWrap/>
              <w:overflowPunct/>
              <w:topLinePunct w:val="0"/>
              <w:autoSpaceDE w:val="0"/>
              <w:autoSpaceDN w:val="0"/>
              <w:bidi w:val="0"/>
              <w:spacing w:after="156" w:line="480" w:lineRule="exact"/>
              <w:rPr>
                <w:rFonts w:hint="eastAsia" w:ascii="宋体" w:hAnsi="宋体" w:eastAsia="宋体" w:cs="宋体"/>
                <w:bCs/>
                <w:color w:val="auto"/>
                <w:sz w:val="21"/>
                <w:szCs w:val="21"/>
              </w:rPr>
            </w:pPr>
          </w:p>
        </w:tc>
      </w:tr>
      <w:tr w14:paraId="2796F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2" w:hRule="atLeast"/>
          <w:jc w:val="center"/>
        </w:trPr>
        <w:tc>
          <w:tcPr>
            <w:tcW w:w="1538" w:type="dxa"/>
            <w:vAlign w:val="center"/>
          </w:tcPr>
          <w:p w14:paraId="1B9B7711">
            <w:pPr>
              <w:keepNext w:val="0"/>
              <w:keepLines w:val="0"/>
              <w:pageBreakBefore w:val="0"/>
              <w:widowControl w:val="0"/>
              <w:kinsoku/>
              <w:wordWrap/>
              <w:overflowPunct/>
              <w:topLinePunct w:val="0"/>
              <w:autoSpaceDE w:val="0"/>
              <w:autoSpaceDN w:val="0"/>
              <w:bidi w:val="0"/>
              <w:spacing w:after="156" w:line="480" w:lineRule="exact"/>
              <w:ind w:firstLine="211" w:firstLineChars="100"/>
              <w:rPr>
                <w:rFonts w:hint="eastAsia" w:ascii="宋体" w:hAnsi="宋体" w:eastAsia="宋体" w:cs="宋体"/>
                <w:b/>
                <w:color w:val="auto"/>
                <w:sz w:val="21"/>
                <w:szCs w:val="21"/>
                <w:u w:val="single"/>
              </w:rPr>
            </w:pPr>
            <w:r>
              <w:rPr>
                <w:rFonts w:hint="eastAsia" w:ascii="宋体" w:hAnsi="宋体" w:eastAsia="宋体" w:cs="宋体"/>
                <w:b/>
                <w:color w:val="auto"/>
                <w:sz w:val="21"/>
                <w:szCs w:val="21"/>
                <w:u w:val="single"/>
              </w:rPr>
              <w:t xml:space="preserve"> 5  </w:t>
            </w:r>
            <w:r>
              <w:rPr>
                <w:rFonts w:hint="eastAsia" w:ascii="宋体" w:hAnsi="宋体" w:eastAsia="宋体" w:cs="宋体"/>
                <w:b/>
                <w:color w:val="auto"/>
                <w:sz w:val="21"/>
                <w:szCs w:val="21"/>
              </w:rPr>
              <w:t>号</w:t>
            </w:r>
          </w:p>
          <w:p w14:paraId="19B84DA0">
            <w:pPr>
              <w:keepNext w:val="0"/>
              <w:keepLines w:val="0"/>
              <w:pageBreakBefore w:val="0"/>
              <w:widowControl w:val="0"/>
              <w:kinsoku/>
              <w:wordWrap/>
              <w:overflowPunct/>
              <w:topLinePunct w:val="0"/>
              <w:autoSpaceDE w:val="0"/>
              <w:autoSpaceDN w:val="0"/>
              <w:bidi w:val="0"/>
              <w:spacing w:after="156" w:line="480" w:lineRule="exact"/>
              <w:ind w:firstLine="211" w:firstLineChars="10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仪器</w:t>
            </w:r>
          </w:p>
        </w:tc>
        <w:tc>
          <w:tcPr>
            <w:tcW w:w="6150" w:type="dxa"/>
            <w:vAlign w:val="top"/>
          </w:tcPr>
          <w:p w14:paraId="6ED36B07">
            <w:pPr>
              <w:keepNext w:val="0"/>
              <w:keepLines w:val="0"/>
              <w:pageBreakBefore w:val="0"/>
              <w:widowControl w:val="0"/>
              <w:kinsoku/>
              <w:wordWrap/>
              <w:overflowPunct/>
              <w:topLinePunct w:val="0"/>
              <w:autoSpaceDE w:val="0"/>
              <w:autoSpaceDN w:val="0"/>
              <w:bidi w:val="0"/>
              <w:spacing w:after="156" w:line="480" w:lineRule="exact"/>
              <w:rPr>
                <w:rFonts w:hint="eastAsia" w:ascii="宋体" w:hAnsi="宋体" w:eastAsia="宋体" w:cs="宋体"/>
                <w:bCs/>
                <w:color w:val="auto"/>
                <w:sz w:val="21"/>
                <w:szCs w:val="21"/>
              </w:rPr>
            </w:pPr>
          </w:p>
        </w:tc>
        <w:tc>
          <w:tcPr>
            <w:tcW w:w="1887" w:type="dxa"/>
            <w:vAlign w:val="top"/>
          </w:tcPr>
          <w:p w14:paraId="590DE224">
            <w:pPr>
              <w:keepNext w:val="0"/>
              <w:keepLines w:val="0"/>
              <w:pageBreakBefore w:val="0"/>
              <w:widowControl w:val="0"/>
              <w:kinsoku/>
              <w:wordWrap/>
              <w:overflowPunct/>
              <w:topLinePunct w:val="0"/>
              <w:autoSpaceDE w:val="0"/>
              <w:autoSpaceDN w:val="0"/>
              <w:bidi w:val="0"/>
              <w:spacing w:after="156" w:line="480" w:lineRule="exact"/>
              <w:rPr>
                <w:rFonts w:hint="eastAsia" w:ascii="宋体" w:hAnsi="宋体" w:eastAsia="宋体" w:cs="宋体"/>
                <w:bCs/>
                <w:color w:val="auto"/>
                <w:sz w:val="21"/>
                <w:szCs w:val="21"/>
              </w:rPr>
            </w:pPr>
          </w:p>
        </w:tc>
      </w:tr>
      <w:tr w14:paraId="2B3A2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688" w:type="dxa"/>
            <w:gridSpan w:val="2"/>
            <w:vAlign w:val="center"/>
          </w:tcPr>
          <w:p w14:paraId="6D42CAEA">
            <w:pPr>
              <w:keepNext w:val="0"/>
              <w:keepLines w:val="0"/>
              <w:pageBreakBefore w:val="0"/>
              <w:widowControl w:val="0"/>
              <w:kinsoku/>
              <w:wordWrap/>
              <w:overflowPunct/>
              <w:topLinePunct w:val="0"/>
              <w:autoSpaceDE w:val="0"/>
              <w:autoSpaceDN w:val="0"/>
              <w:bidi w:val="0"/>
              <w:spacing w:after="156" w:line="480" w:lineRule="exact"/>
              <w:rPr>
                <w:rFonts w:hint="eastAsia" w:ascii="宋体" w:hAnsi="宋体" w:eastAsia="宋体" w:cs="宋体"/>
                <w:b/>
                <w:color w:val="auto"/>
                <w:sz w:val="21"/>
                <w:szCs w:val="21"/>
              </w:rPr>
            </w:pPr>
            <w:r>
              <w:rPr>
                <w:rFonts w:hint="eastAsia" w:ascii="宋体" w:hAnsi="宋体" w:eastAsia="宋体" w:cs="宋体"/>
                <w:b/>
                <w:color w:val="auto"/>
                <w:sz w:val="21"/>
                <w:szCs w:val="21"/>
              </w:rPr>
              <w:t>用时：                    得分：</w:t>
            </w:r>
          </w:p>
        </w:tc>
        <w:tc>
          <w:tcPr>
            <w:tcW w:w="1887" w:type="dxa"/>
            <w:vAlign w:val="top"/>
          </w:tcPr>
          <w:p w14:paraId="52D868C0">
            <w:pPr>
              <w:keepNext w:val="0"/>
              <w:keepLines w:val="0"/>
              <w:pageBreakBefore w:val="0"/>
              <w:widowControl w:val="0"/>
              <w:kinsoku/>
              <w:wordWrap/>
              <w:overflowPunct/>
              <w:topLinePunct w:val="0"/>
              <w:autoSpaceDE w:val="0"/>
              <w:autoSpaceDN w:val="0"/>
              <w:bidi w:val="0"/>
              <w:spacing w:after="156" w:line="480" w:lineRule="exact"/>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合计扣分：</w:t>
            </w:r>
          </w:p>
        </w:tc>
      </w:tr>
      <w:tr w14:paraId="7E507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75" w:type="dxa"/>
            <w:gridSpan w:val="3"/>
            <w:vAlign w:val="center"/>
          </w:tcPr>
          <w:p w14:paraId="7DA9F008">
            <w:pPr>
              <w:pStyle w:val="16"/>
              <w:keepNext w:val="0"/>
              <w:keepLines w:val="0"/>
              <w:pageBreakBefore w:val="0"/>
              <w:widowControl w:val="0"/>
              <w:tabs>
                <w:tab w:val="center" w:pos="4153"/>
                <w:tab w:val="right" w:pos="8306"/>
              </w:tabs>
              <w:kinsoku/>
              <w:wordWrap/>
              <w:overflowPunct/>
              <w:topLinePunct w:val="0"/>
              <w:autoSpaceDE w:val="0"/>
              <w:autoSpaceDN w:val="0"/>
              <w:bidi w:val="0"/>
              <w:rPr>
                <w:rFonts w:hint="eastAsia" w:ascii="宋体" w:hAnsi="宋体" w:eastAsia="宋体" w:cs="宋体"/>
                <w:b/>
                <w:color w:val="auto"/>
                <w:kern w:val="2"/>
                <w:sz w:val="21"/>
                <w:szCs w:val="21"/>
              </w:rPr>
            </w:pPr>
            <w:r>
              <w:rPr>
                <w:rFonts w:hint="eastAsia" w:ascii="宋体" w:hAnsi="宋体" w:eastAsia="宋体" w:cs="宋体"/>
                <w:b/>
                <w:color w:val="auto"/>
                <w:kern w:val="2"/>
                <w:sz w:val="21"/>
                <w:szCs w:val="21"/>
              </w:rPr>
              <w:t>裁判员（签字）：</w:t>
            </w:r>
          </w:p>
          <w:p w14:paraId="375F4E7F">
            <w:pPr>
              <w:keepNext w:val="0"/>
              <w:keepLines w:val="0"/>
              <w:pageBreakBefore w:val="0"/>
              <w:widowControl w:val="0"/>
              <w:kinsoku/>
              <w:wordWrap/>
              <w:overflowPunct/>
              <w:topLinePunct w:val="0"/>
              <w:autoSpaceDE w:val="0"/>
              <w:autoSpaceDN w:val="0"/>
              <w:bidi w:val="0"/>
              <w:spacing w:after="156" w:line="480" w:lineRule="exact"/>
              <w:rPr>
                <w:rFonts w:hint="eastAsia" w:ascii="宋体" w:hAnsi="宋体" w:eastAsia="宋体" w:cs="宋体"/>
                <w:b/>
                <w:color w:val="auto"/>
                <w:sz w:val="21"/>
                <w:szCs w:val="21"/>
              </w:rPr>
            </w:pPr>
          </w:p>
        </w:tc>
      </w:tr>
    </w:tbl>
    <w:p w14:paraId="3B998A91">
      <w:pPr>
        <w:pStyle w:val="16"/>
        <w:keepNext w:val="0"/>
        <w:keepLines w:val="0"/>
        <w:pageBreakBefore w:val="0"/>
        <w:widowControl w:val="0"/>
        <w:tabs>
          <w:tab w:val="center" w:pos="4153"/>
          <w:tab w:val="right" w:pos="8306"/>
        </w:tabs>
        <w:kinsoku/>
        <w:wordWrap/>
        <w:overflowPunct/>
        <w:topLinePunct w:val="0"/>
        <w:autoSpaceDE w:val="0"/>
        <w:autoSpaceDN w:val="0"/>
        <w:bidi w:val="0"/>
        <w:ind w:firstLine="211" w:firstLineChars="100"/>
        <w:rPr>
          <w:rFonts w:hint="eastAsia" w:ascii="宋体" w:hAnsi="宋体" w:eastAsia="宋体" w:cs="宋体"/>
          <w:b/>
          <w:bCs/>
          <w:color w:val="auto"/>
          <w:sz w:val="21"/>
          <w:szCs w:val="21"/>
        </w:rPr>
      </w:pPr>
      <w:r>
        <w:rPr>
          <w:rFonts w:hint="eastAsia" w:ascii="宋体" w:hAnsi="宋体" w:eastAsia="宋体" w:cs="宋体"/>
          <w:b/>
          <w:color w:val="auto"/>
          <w:kern w:val="2"/>
          <w:sz w:val="21"/>
          <w:szCs w:val="21"/>
        </w:rPr>
        <w:t>裁判长（签字）：</w:t>
      </w:r>
    </w:p>
    <w:p w14:paraId="032E5A7F">
      <w:pPr>
        <w:keepNext w:val="0"/>
        <w:keepLines w:val="0"/>
        <w:pageBreakBefore w:val="0"/>
        <w:widowControl w:val="0"/>
        <w:kinsoku/>
        <w:wordWrap/>
        <w:overflowPunct/>
        <w:topLinePunct w:val="0"/>
        <w:autoSpaceDE w:val="0"/>
        <w:autoSpaceDN w:val="0"/>
        <w:bidi w:val="0"/>
        <w:spacing w:after="156" w:line="480" w:lineRule="exact"/>
        <w:jc w:val="both"/>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附件2</w:t>
      </w:r>
    </w:p>
    <w:p w14:paraId="449258EA">
      <w:pPr>
        <w:keepNext w:val="0"/>
        <w:keepLines w:val="0"/>
        <w:pageBreakBefore w:val="0"/>
        <w:widowControl w:val="0"/>
        <w:kinsoku/>
        <w:wordWrap/>
        <w:overflowPunct/>
        <w:topLinePunct w:val="0"/>
        <w:autoSpaceDE w:val="0"/>
        <w:autoSpaceDN w:val="0"/>
        <w:bidi w:val="0"/>
        <w:spacing w:after="156" w:line="480" w:lineRule="exact"/>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附表</w:t>
      </w:r>
      <w:r>
        <w:rPr>
          <w:rFonts w:hint="eastAsia" w:ascii="宋体" w:hAnsi="宋体" w:eastAsia="宋体" w:cs="宋体"/>
          <w:b/>
          <w:bCs/>
          <w:color w:val="auto"/>
          <w:sz w:val="21"/>
          <w:szCs w:val="21"/>
          <w:lang w:val="en-US" w:eastAsia="zh-CN"/>
        </w:rPr>
        <w:t>2</w:t>
      </w:r>
      <w:r>
        <w:rPr>
          <w:rFonts w:hint="eastAsia" w:ascii="宋体" w:hAnsi="宋体" w:eastAsia="宋体" w:cs="宋体"/>
          <w:b/>
          <w:bCs/>
          <w:color w:val="auto"/>
          <w:sz w:val="21"/>
          <w:szCs w:val="21"/>
        </w:rPr>
        <w:t xml:space="preserve">     光学瓦斯检定器故障类别</w:t>
      </w:r>
    </w:p>
    <w:tbl>
      <w:tblPr>
        <w:tblStyle w:val="11"/>
        <w:tblW w:w="954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5"/>
        <w:gridCol w:w="3150"/>
        <w:gridCol w:w="782"/>
        <w:gridCol w:w="847"/>
        <w:gridCol w:w="3064"/>
        <w:gridCol w:w="868"/>
      </w:tblGrid>
      <w:tr w14:paraId="525FA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 w:hRule="atLeast"/>
          <w:jc w:val="center"/>
        </w:trPr>
        <w:tc>
          <w:tcPr>
            <w:tcW w:w="835" w:type="dxa"/>
            <w:vAlign w:val="center"/>
          </w:tcPr>
          <w:p w14:paraId="34581836">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序号</w:t>
            </w:r>
          </w:p>
        </w:tc>
        <w:tc>
          <w:tcPr>
            <w:tcW w:w="3150" w:type="dxa"/>
            <w:vAlign w:val="center"/>
          </w:tcPr>
          <w:p w14:paraId="03C79EA0">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故障名称</w:t>
            </w:r>
          </w:p>
        </w:tc>
        <w:tc>
          <w:tcPr>
            <w:tcW w:w="782" w:type="dxa"/>
            <w:vAlign w:val="center"/>
          </w:tcPr>
          <w:p w14:paraId="7D79F898">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备注</w:t>
            </w:r>
          </w:p>
        </w:tc>
        <w:tc>
          <w:tcPr>
            <w:tcW w:w="847" w:type="dxa"/>
            <w:vAlign w:val="center"/>
          </w:tcPr>
          <w:p w14:paraId="01A128A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序号</w:t>
            </w:r>
          </w:p>
        </w:tc>
        <w:tc>
          <w:tcPr>
            <w:tcW w:w="3064" w:type="dxa"/>
            <w:vAlign w:val="center"/>
          </w:tcPr>
          <w:p w14:paraId="49BA6C2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故障名称</w:t>
            </w:r>
          </w:p>
        </w:tc>
        <w:tc>
          <w:tcPr>
            <w:tcW w:w="868" w:type="dxa"/>
            <w:vAlign w:val="center"/>
          </w:tcPr>
          <w:p w14:paraId="33A3562B">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备注</w:t>
            </w:r>
          </w:p>
        </w:tc>
      </w:tr>
      <w:tr w14:paraId="3CDC3C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6" w:hRule="atLeast"/>
          <w:jc w:val="center"/>
        </w:trPr>
        <w:tc>
          <w:tcPr>
            <w:tcW w:w="835" w:type="dxa"/>
            <w:vAlign w:val="center"/>
          </w:tcPr>
          <w:p w14:paraId="1C2F29F1">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150" w:type="dxa"/>
            <w:vAlign w:val="center"/>
          </w:tcPr>
          <w:p w14:paraId="0348477B">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干涉条纹前视场不足</w:t>
            </w:r>
          </w:p>
        </w:tc>
        <w:tc>
          <w:tcPr>
            <w:tcW w:w="782" w:type="dxa"/>
            <w:vAlign w:val="center"/>
          </w:tcPr>
          <w:p w14:paraId="20ECB521">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1C735EB7">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30</w:t>
            </w:r>
          </w:p>
        </w:tc>
        <w:tc>
          <w:tcPr>
            <w:tcW w:w="3064" w:type="dxa"/>
            <w:vAlign w:val="center"/>
          </w:tcPr>
          <w:p w14:paraId="1F2933AA">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钠石灰失效</w:t>
            </w:r>
          </w:p>
        </w:tc>
        <w:tc>
          <w:tcPr>
            <w:tcW w:w="868" w:type="dxa"/>
            <w:vAlign w:val="center"/>
          </w:tcPr>
          <w:p w14:paraId="535F42AB">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21D4B1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835" w:type="dxa"/>
            <w:vAlign w:val="center"/>
          </w:tcPr>
          <w:p w14:paraId="62945014">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3150" w:type="dxa"/>
            <w:vAlign w:val="center"/>
          </w:tcPr>
          <w:p w14:paraId="0E79770E">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干涉条纹后视场不足</w:t>
            </w:r>
          </w:p>
        </w:tc>
        <w:tc>
          <w:tcPr>
            <w:tcW w:w="782" w:type="dxa"/>
            <w:vAlign w:val="center"/>
          </w:tcPr>
          <w:p w14:paraId="13375E0C">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75AAEB28">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31</w:t>
            </w:r>
          </w:p>
        </w:tc>
        <w:tc>
          <w:tcPr>
            <w:tcW w:w="3064" w:type="dxa"/>
            <w:vAlign w:val="center"/>
          </w:tcPr>
          <w:p w14:paraId="1E37F355">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硅胶装填不足</w:t>
            </w:r>
          </w:p>
        </w:tc>
        <w:tc>
          <w:tcPr>
            <w:tcW w:w="868" w:type="dxa"/>
            <w:vAlign w:val="center"/>
          </w:tcPr>
          <w:p w14:paraId="6B202368">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471651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835" w:type="dxa"/>
            <w:vAlign w:val="center"/>
          </w:tcPr>
          <w:p w14:paraId="59536E80">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3150" w:type="dxa"/>
            <w:vAlign w:val="center"/>
          </w:tcPr>
          <w:p w14:paraId="470472B7">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干涉条纹上视场不足</w:t>
            </w:r>
          </w:p>
        </w:tc>
        <w:tc>
          <w:tcPr>
            <w:tcW w:w="782" w:type="dxa"/>
            <w:vAlign w:val="center"/>
          </w:tcPr>
          <w:p w14:paraId="7E79549C">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7A349CBC">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32</w:t>
            </w:r>
          </w:p>
        </w:tc>
        <w:tc>
          <w:tcPr>
            <w:tcW w:w="3064" w:type="dxa"/>
            <w:vAlign w:val="center"/>
          </w:tcPr>
          <w:p w14:paraId="03E0CEE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硅胶失效</w:t>
            </w:r>
          </w:p>
        </w:tc>
        <w:tc>
          <w:tcPr>
            <w:tcW w:w="868" w:type="dxa"/>
            <w:vAlign w:val="center"/>
          </w:tcPr>
          <w:p w14:paraId="76907AC4">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08F111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 w:hRule="atLeast"/>
          <w:jc w:val="center"/>
        </w:trPr>
        <w:tc>
          <w:tcPr>
            <w:tcW w:w="835" w:type="dxa"/>
            <w:vAlign w:val="center"/>
          </w:tcPr>
          <w:p w14:paraId="009E03BB">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3150" w:type="dxa"/>
            <w:vAlign w:val="center"/>
          </w:tcPr>
          <w:p w14:paraId="1F73669F">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干涉条纹下视场不足</w:t>
            </w:r>
          </w:p>
        </w:tc>
        <w:tc>
          <w:tcPr>
            <w:tcW w:w="782" w:type="dxa"/>
            <w:vAlign w:val="center"/>
          </w:tcPr>
          <w:p w14:paraId="2295535A">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1D40C1F4">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33</w:t>
            </w:r>
          </w:p>
        </w:tc>
        <w:tc>
          <w:tcPr>
            <w:tcW w:w="3064" w:type="dxa"/>
            <w:vAlign w:val="center"/>
          </w:tcPr>
          <w:p w14:paraId="565ACB47">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吸气球漏气</w:t>
            </w:r>
          </w:p>
        </w:tc>
        <w:tc>
          <w:tcPr>
            <w:tcW w:w="868" w:type="dxa"/>
            <w:vAlign w:val="center"/>
          </w:tcPr>
          <w:p w14:paraId="0E98DFEB">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3276E0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4" w:hRule="atLeast"/>
          <w:jc w:val="center"/>
        </w:trPr>
        <w:tc>
          <w:tcPr>
            <w:tcW w:w="835" w:type="dxa"/>
            <w:vAlign w:val="center"/>
          </w:tcPr>
          <w:p w14:paraId="110E4978">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5</w:t>
            </w:r>
          </w:p>
        </w:tc>
        <w:tc>
          <w:tcPr>
            <w:tcW w:w="3150" w:type="dxa"/>
            <w:vAlign w:val="center"/>
          </w:tcPr>
          <w:p w14:paraId="3DDBC0D7">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干涉条纹宽</w:t>
            </w:r>
          </w:p>
        </w:tc>
        <w:tc>
          <w:tcPr>
            <w:tcW w:w="782" w:type="dxa"/>
            <w:vAlign w:val="center"/>
          </w:tcPr>
          <w:p w14:paraId="27355DFC">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7020BC91">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34</w:t>
            </w:r>
          </w:p>
        </w:tc>
        <w:tc>
          <w:tcPr>
            <w:tcW w:w="3064" w:type="dxa"/>
            <w:vAlign w:val="center"/>
          </w:tcPr>
          <w:p w14:paraId="57B375D2">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二氧化碳吸收管漏气 </w:t>
            </w:r>
          </w:p>
        </w:tc>
        <w:tc>
          <w:tcPr>
            <w:tcW w:w="868" w:type="dxa"/>
            <w:vAlign w:val="center"/>
          </w:tcPr>
          <w:p w14:paraId="6E49CA6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6188F4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6" w:hRule="atLeast"/>
          <w:jc w:val="center"/>
        </w:trPr>
        <w:tc>
          <w:tcPr>
            <w:tcW w:w="835" w:type="dxa"/>
            <w:vAlign w:val="center"/>
          </w:tcPr>
          <w:p w14:paraId="4147E1D1">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6</w:t>
            </w:r>
          </w:p>
        </w:tc>
        <w:tc>
          <w:tcPr>
            <w:tcW w:w="3150" w:type="dxa"/>
            <w:vAlign w:val="center"/>
          </w:tcPr>
          <w:p w14:paraId="4B030144">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干涉条纹窄</w:t>
            </w:r>
          </w:p>
        </w:tc>
        <w:tc>
          <w:tcPr>
            <w:tcW w:w="782" w:type="dxa"/>
            <w:vAlign w:val="center"/>
          </w:tcPr>
          <w:p w14:paraId="1CB286AE">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65F6766F">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35</w:t>
            </w:r>
          </w:p>
        </w:tc>
        <w:tc>
          <w:tcPr>
            <w:tcW w:w="3064" w:type="dxa"/>
            <w:vAlign w:val="center"/>
          </w:tcPr>
          <w:p w14:paraId="6FB09D3C">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水分吸收管漏气</w:t>
            </w:r>
          </w:p>
        </w:tc>
        <w:tc>
          <w:tcPr>
            <w:tcW w:w="868" w:type="dxa"/>
            <w:vAlign w:val="center"/>
          </w:tcPr>
          <w:p w14:paraId="5A421A79">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3CA93C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7" w:hRule="atLeast"/>
          <w:jc w:val="center"/>
        </w:trPr>
        <w:tc>
          <w:tcPr>
            <w:tcW w:w="835" w:type="dxa"/>
            <w:vAlign w:val="center"/>
          </w:tcPr>
          <w:p w14:paraId="189D7857">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7</w:t>
            </w:r>
          </w:p>
        </w:tc>
        <w:tc>
          <w:tcPr>
            <w:tcW w:w="3150" w:type="dxa"/>
            <w:vAlign w:val="center"/>
          </w:tcPr>
          <w:p w14:paraId="1CB1875C">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干涉条纹有气泡</w:t>
            </w:r>
          </w:p>
        </w:tc>
        <w:tc>
          <w:tcPr>
            <w:tcW w:w="782" w:type="dxa"/>
            <w:vAlign w:val="center"/>
          </w:tcPr>
          <w:p w14:paraId="66B3F3A4">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3A64127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36</w:t>
            </w:r>
          </w:p>
        </w:tc>
        <w:tc>
          <w:tcPr>
            <w:tcW w:w="3064" w:type="dxa"/>
            <w:vAlign w:val="center"/>
          </w:tcPr>
          <w:p w14:paraId="10B601EF">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药品连接管漏气</w:t>
            </w:r>
          </w:p>
        </w:tc>
        <w:tc>
          <w:tcPr>
            <w:tcW w:w="868" w:type="dxa"/>
            <w:vAlign w:val="center"/>
          </w:tcPr>
          <w:p w14:paraId="37A9AC0C">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42AADB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5" w:hRule="atLeast"/>
          <w:jc w:val="center"/>
        </w:trPr>
        <w:tc>
          <w:tcPr>
            <w:tcW w:w="835" w:type="dxa"/>
            <w:vAlign w:val="center"/>
          </w:tcPr>
          <w:p w14:paraId="519B06CF">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8</w:t>
            </w:r>
          </w:p>
        </w:tc>
        <w:tc>
          <w:tcPr>
            <w:tcW w:w="3150" w:type="dxa"/>
            <w:vAlign w:val="center"/>
          </w:tcPr>
          <w:p w14:paraId="07C57C46">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无干涉条纹</w:t>
            </w:r>
          </w:p>
        </w:tc>
        <w:tc>
          <w:tcPr>
            <w:tcW w:w="782" w:type="dxa"/>
            <w:vAlign w:val="center"/>
          </w:tcPr>
          <w:p w14:paraId="017C259B">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418B0E78">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37</w:t>
            </w:r>
          </w:p>
        </w:tc>
        <w:tc>
          <w:tcPr>
            <w:tcW w:w="3064" w:type="dxa"/>
            <w:vAlign w:val="center"/>
          </w:tcPr>
          <w:p w14:paraId="7736A172">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进气孔连接胶管漏气</w:t>
            </w:r>
          </w:p>
        </w:tc>
        <w:tc>
          <w:tcPr>
            <w:tcW w:w="868" w:type="dxa"/>
            <w:vAlign w:val="center"/>
          </w:tcPr>
          <w:p w14:paraId="78FB272B">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37D792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9" w:hRule="atLeast"/>
          <w:jc w:val="center"/>
        </w:trPr>
        <w:tc>
          <w:tcPr>
            <w:tcW w:w="835" w:type="dxa"/>
            <w:vAlign w:val="center"/>
          </w:tcPr>
          <w:p w14:paraId="61310BA8">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9</w:t>
            </w:r>
          </w:p>
        </w:tc>
        <w:tc>
          <w:tcPr>
            <w:tcW w:w="3150" w:type="dxa"/>
            <w:vAlign w:val="center"/>
          </w:tcPr>
          <w:p w14:paraId="45620D72">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缺目镜盖链条</w:t>
            </w:r>
          </w:p>
        </w:tc>
        <w:tc>
          <w:tcPr>
            <w:tcW w:w="782" w:type="dxa"/>
            <w:vAlign w:val="center"/>
          </w:tcPr>
          <w:p w14:paraId="7F8EF17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797EF56F">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38</w:t>
            </w:r>
          </w:p>
        </w:tc>
        <w:tc>
          <w:tcPr>
            <w:tcW w:w="3064" w:type="dxa"/>
            <w:vAlign w:val="center"/>
          </w:tcPr>
          <w:p w14:paraId="22AAB81E">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出气孔连接胶管漏气</w:t>
            </w:r>
          </w:p>
        </w:tc>
        <w:tc>
          <w:tcPr>
            <w:tcW w:w="868" w:type="dxa"/>
            <w:vAlign w:val="center"/>
          </w:tcPr>
          <w:p w14:paraId="2C92CF3B">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3943B7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5" w:hRule="atLeast"/>
          <w:jc w:val="center"/>
        </w:trPr>
        <w:tc>
          <w:tcPr>
            <w:tcW w:w="835" w:type="dxa"/>
            <w:vAlign w:val="center"/>
          </w:tcPr>
          <w:p w14:paraId="03FD220C">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10</w:t>
            </w:r>
          </w:p>
        </w:tc>
        <w:tc>
          <w:tcPr>
            <w:tcW w:w="3150" w:type="dxa"/>
            <w:vAlign w:val="center"/>
          </w:tcPr>
          <w:p w14:paraId="754D8E83">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缺吸气球防护链条</w:t>
            </w:r>
          </w:p>
        </w:tc>
        <w:tc>
          <w:tcPr>
            <w:tcW w:w="782" w:type="dxa"/>
            <w:vAlign w:val="center"/>
          </w:tcPr>
          <w:p w14:paraId="521B6754">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09C81B23">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39</w:t>
            </w:r>
          </w:p>
        </w:tc>
        <w:tc>
          <w:tcPr>
            <w:tcW w:w="3064" w:type="dxa"/>
            <w:vAlign w:val="center"/>
          </w:tcPr>
          <w:p w14:paraId="57292058">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辅助长胶管漏气</w:t>
            </w:r>
          </w:p>
        </w:tc>
        <w:tc>
          <w:tcPr>
            <w:tcW w:w="868" w:type="dxa"/>
            <w:vAlign w:val="center"/>
          </w:tcPr>
          <w:p w14:paraId="14BCA5CE">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4E2275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jc w:val="center"/>
        </w:trPr>
        <w:tc>
          <w:tcPr>
            <w:tcW w:w="835" w:type="dxa"/>
            <w:vAlign w:val="center"/>
          </w:tcPr>
          <w:p w14:paraId="5935CD67">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11</w:t>
            </w:r>
          </w:p>
        </w:tc>
        <w:tc>
          <w:tcPr>
            <w:tcW w:w="3150" w:type="dxa"/>
            <w:vAlign w:val="center"/>
          </w:tcPr>
          <w:p w14:paraId="456460F3">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缺主调螺旋盖链条</w:t>
            </w:r>
          </w:p>
        </w:tc>
        <w:tc>
          <w:tcPr>
            <w:tcW w:w="782" w:type="dxa"/>
            <w:vAlign w:val="center"/>
          </w:tcPr>
          <w:p w14:paraId="563B4C37">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0E097740">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40</w:t>
            </w:r>
          </w:p>
        </w:tc>
        <w:tc>
          <w:tcPr>
            <w:tcW w:w="3064" w:type="dxa"/>
            <w:vAlign w:val="center"/>
          </w:tcPr>
          <w:p w14:paraId="66253681">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气球吸不进气</w:t>
            </w:r>
          </w:p>
        </w:tc>
        <w:tc>
          <w:tcPr>
            <w:tcW w:w="868" w:type="dxa"/>
            <w:vAlign w:val="center"/>
          </w:tcPr>
          <w:p w14:paraId="03B6957C">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38463B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jc w:val="center"/>
        </w:trPr>
        <w:tc>
          <w:tcPr>
            <w:tcW w:w="835" w:type="dxa"/>
            <w:vAlign w:val="center"/>
          </w:tcPr>
          <w:p w14:paraId="76E29EE6">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12</w:t>
            </w:r>
          </w:p>
        </w:tc>
        <w:tc>
          <w:tcPr>
            <w:tcW w:w="3150" w:type="dxa"/>
            <w:vAlign w:val="center"/>
          </w:tcPr>
          <w:p w14:paraId="487DBBEF">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吸气球链条未连接</w:t>
            </w:r>
          </w:p>
        </w:tc>
        <w:tc>
          <w:tcPr>
            <w:tcW w:w="782" w:type="dxa"/>
            <w:vAlign w:val="center"/>
          </w:tcPr>
          <w:p w14:paraId="6F7AF9DB">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691D0516">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41</w:t>
            </w:r>
          </w:p>
        </w:tc>
        <w:tc>
          <w:tcPr>
            <w:tcW w:w="3064" w:type="dxa"/>
            <w:vAlign w:val="center"/>
          </w:tcPr>
          <w:p w14:paraId="2922FEB5">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水分吸收管堵塞</w:t>
            </w:r>
          </w:p>
        </w:tc>
        <w:tc>
          <w:tcPr>
            <w:tcW w:w="868" w:type="dxa"/>
            <w:vAlign w:val="center"/>
          </w:tcPr>
          <w:p w14:paraId="4D8825D9">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22A1AB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jc w:val="center"/>
        </w:trPr>
        <w:tc>
          <w:tcPr>
            <w:tcW w:w="835" w:type="dxa"/>
            <w:vAlign w:val="center"/>
          </w:tcPr>
          <w:p w14:paraId="2E54B5F7">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13</w:t>
            </w:r>
          </w:p>
        </w:tc>
        <w:tc>
          <w:tcPr>
            <w:tcW w:w="3150" w:type="dxa"/>
            <w:vAlign w:val="center"/>
          </w:tcPr>
          <w:p w14:paraId="4C22B718">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吸气球链条连接位置不正确</w:t>
            </w:r>
          </w:p>
        </w:tc>
        <w:tc>
          <w:tcPr>
            <w:tcW w:w="782" w:type="dxa"/>
            <w:vAlign w:val="center"/>
          </w:tcPr>
          <w:p w14:paraId="091FFD94">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1318420A">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42</w:t>
            </w:r>
          </w:p>
        </w:tc>
        <w:tc>
          <w:tcPr>
            <w:tcW w:w="3064" w:type="dxa"/>
            <w:vAlign w:val="center"/>
          </w:tcPr>
          <w:p w14:paraId="4115F784">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二氧化碳吸收管堵塞</w:t>
            </w:r>
          </w:p>
        </w:tc>
        <w:tc>
          <w:tcPr>
            <w:tcW w:w="868" w:type="dxa"/>
            <w:vAlign w:val="center"/>
          </w:tcPr>
          <w:p w14:paraId="27B0F995">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5AAC1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835" w:type="dxa"/>
            <w:vAlign w:val="center"/>
          </w:tcPr>
          <w:p w14:paraId="4294BB51">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14</w:t>
            </w:r>
          </w:p>
        </w:tc>
        <w:tc>
          <w:tcPr>
            <w:tcW w:w="3150" w:type="dxa"/>
            <w:vAlign w:val="center"/>
          </w:tcPr>
          <w:p w14:paraId="2B866169">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主调螺旋盖链条未连接</w:t>
            </w:r>
          </w:p>
        </w:tc>
        <w:tc>
          <w:tcPr>
            <w:tcW w:w="782" w:type="dxa"/>
            <w:vAlign w:val="center"/>
          </w:tcPr>
          <w:p w14:paraId="4C83D8C1">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534D951A">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43</w:t>
            </w:r>
          </w:p>
        </w:tc>
        <w:tc>
          <w:tcPr>
            <w:tcW w:w="3064" w:type="dxa"/>
            <w:vAlign w:val="center"/>
          </w:tcPr>
          <w:p w14:paraId="688022C3">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钠石灰颗粒不均匀</w:t>
            </w:r>
          </w:p>
        </w:tc>
        <w:tc>
          <w:tcPr>
            <w:tcW w:w="868" w:type="dxa"/>
            <w:vAlign w:val="center"/>
          </w:tcPr>
          <w:p w14:paraId="72F086F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3A0ED7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835" w:type="dxa"/>
            <w:vAlign w:val="center"/>
          </w:tcPr>
          <w:p w14:paraId="045D242B">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15</w:t>
            </w:r>
          </w:p>
        </w:tc>
        <w:tc>
          <w:tcPr>
            <w:tcW w:w="3150" w:type="dxa"/>
            <w:vAlign w:val="center"/>
          </w:tcPr>
          <w:p w14:paraId="5A1A500B">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目镜护盖链条未连接</w:t>
            </w:r>
          </w:p>
        </w:tc>
        <w:tc>
          <w:tcPr>
            <w:tcW w:w="782" w:type="dxa"/>
            <w:vAlign w:val="center"/>
          </w:tcPr>
          <w:p w14:paraId="0C6B311E">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3A8D9B69">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44</w:t>
            </w:r>
          </w:p>
        </w:tc>
        <w:tc>
          <w:tcPr>
            <w:tcW w:w="3064" w:type="dxa"/>
            <w:vAlign w:val="center"/>
          </w:tcPr>
          <w:p w14:paraId="28790742">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隔片位置不正确</w:t>
            </w:r>
          </w:p>
        </w:tc>
        <w:tc>
          <w:tcPr>
            <w:tcW w:w="868" w:type="dxa"/>
            <w:vAlign w:val="center"/>
          </w:tcPr>
          <w:p w14:paraId="1F2D3C4E">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6A6749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0" w:hRule="atLeast"/>
          <w:jc w:val="center"/>
        </w:trPr>
        <w:tc>
          <w:tcPr>
            <w:tcW w:w="835" w:type="dxa"/>
            <w:vAlign w:val="center"/>
          </w:tcPr>
          <w:p w14:paraId="2805C97B">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16</w:t>
            </w:r>
          </w:p>
        </w:tc>
        <w:tc>
          <w:tcPr>
            <w:tcW w:w="3150" w:type="dxa"/>
            <w:vAlign w:val="center"/>
          </w:tcPr>
          <w:p w14:paraId="5657B8C0">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缺主调螺旋盖</w:t>
            </w:r>
          </w:p>
        </w:tc>
        <w:tc>
          <w:tcPr>
            <w:tcW w:w="782" w:type="dxa"/>
            <w:vAlign w:val="center"/>
          </w:tcPr>
          <w:p w14:paraId="4A7A995A">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4A4962B3">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45</w:t>
            </w:r>
          </w:p>
        </w:tc>
        <w:tc>
          <w:tcPr>
            <w:tcW w:w="3064" w:type="dxa"/>
            <w:vAlign w:val="center"/>
          </w:tcPr>
          <w:p w14:paraId="05FD0945">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测微盘不定位</w:t>
            </w:r>
          </w:p>
        </w:tc>
        <w:tc>
          <w:tcPr>
            <w:tcW w:w="868" w:type="dxa"/>
            <w:vAlign w:val="center"/>
          </w:tcPr>
          <w:p w14:paraId="0893556E">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5638C5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9" w:hRule="atLeast"/>
          <w:jc w:val="center"/>
        </w:trPr>
        <w:tc>
          <w:tcPr>
            <w:tcW w:w="835" w:type="dxa"/>
            <w:vAlign w:val="center"/>
          </w:tcPr>
          <w:p w14:paraId="0CD90D3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17</w:t>
            </w:r>
          </w:p>
        </w:tc>
        <w:tc>
          <w:tcPr>
            <w:tcW w:w="3150" w:type="dxa"/>
            <w:vAlign w:val="center"/>
          </w:tcPr>
          <w:p w14:paraId="14433D83">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缺目镜护盖</w:t>
            </w:r>
          </w:p>
        </w:tc>
        <w:tc>
          <w:tcPr>
            <w:tcW w:w="782" w:type="dxa"/>
            <w:vAlign w:val="center"/>
          </w:tcPr>
          <w:p w14:paraId="7976622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1894C1EF">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46</w:t>
            </w:r>
          </w:p>
        </w:tc>
        <w:tc>
          <w:tcPr>
            <w:tcW w:w="3064" w:type="dxa"/>
            <w:vAlign w:val="center"/>
          </w:tcPr>
          <w:p w14:paraId="1A2CE683">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仪器气室内堵塞</w:t>
            </w:r>
          </w:p>
        </w:tc>
        <w:tc>
          <w:tcPr>
            <w:tcW w:w="868" w:type="dxa"/>
            <w:vAlign w:val="center"/>
          </w:tcPr>
          <w:p w14:paraId="43EE030C">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2D2CBA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1" w:hRule="atLeast"/>
          <w:jc w:val="center"/>
        </w:trPr>
        <w:tc>
          <w:tcPr>
            <w:tcW w:w="835" w:type="dxa"/>
            <w:vAlign w:val="center"/>
          </w:tcPr>
          <w:p w14:paraId="73470454">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18</w:t>
            </w:r>
          </w:p>
        </w:tc>
        <w:tc>
          <w:tcPr>
            <w:tcW w:w="3150" w:type="dxa"/>
            <w:vAlign w:val="center"/>
          </w:tcPr>
          <w:p w14:paraId="35CD7F3F">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缺开关保护套</w:t>
            </w:r>
          </w:p>
        </w:tc>
        <w:tc>
          <w:tcPr>
            <w:tcW w:w="782" w:type="dxa"/>
            <w:vAlign w:val="center"/>
          </w:tcPr>
          <w:p w14:paraId="0B811D6F">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61980234">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47</w:t>
            </w:r>
          </w:p>
        </w:tc>
        <w:tc>
          <w:tcPr>
            <w:tcW w:w="3064" w:type="dxa"/>
            <w:vAlign w:val="center"/>
          </w:tcPr>
          <w:p w14:paraId="136C0DAE">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仪器内漏</w:t>
            </w:r>
          </w:p>
        </w:tc>
        <w:tc>
          <w:tcPr>
            <w:tcW w:w="868" w:type="dxa"/>
            <w:vAlign w:val="center"/>
          </w:tcPr>
          <w:p w14:paraId="64BF7175">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6E203F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 w:hRule="atLeast"/>
          <w:jc w:val="center"/>
        </w:trPr>
        <w:tc>
          <w:tcPr>
            <w:tcW w:w="835" w:type="dxa"/>
            <w:vAlign w:val="center"/>
          </w:tcPr>
          <w:p w14:paraId="4D807881">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19</w:t>
            </w:r>
          </w:p>
        </w:tc>
        <w:tc>
          <w:tcPr>
            <w:tcW w:w="3150" w:type="dxa"/>
            <w:vAlign w:val="center"/>
          </w:tcPr>
          <w:p w14:paraId="4B561FD3">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微调螺旋卡死</w:t>
            </w:r>
          </w:p>
        </w:tc>
        <w:tc>
          <w:tcPr>
            <w:tcW w:w="782" w:type="dxa"/>
            <w:vAlign w:val="center"/>
          </w:tcPr>
          <w:p w14:paraId="586FEDB1">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25D89128">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48</w:t>
            </w:r>
          </w:p>
        </w:tc>
        <w:tc>
          <w:tcPr>
            <w:tcW w:w="3064" w:type="dxa"/>
            <w:vAlign w:val="center"/>
          </w:tcPr>
          <w:p w14:paraId="67038841">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测微组无指标线</w:t>
            </w:r>
          </w:p>
        </w:tc>
        <w:tc>
          <w:tcPr>
            <w:tcW w:w="868" w:type="dxa"/>
            <w:vAlign w:val="center"/>
          </w:tcPr>
          <w:p w14:paraId="41EB8A5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3937C7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35" w:type="dxa"/>
            <w:vAlign w:val="center"/>
          </w:tcPr>
          <w:p w14:paraId="5CC0911E">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20</w:t>
            </w:r>
          </w:p>
        </w:tc>
        <w:tc>
          <w:tcPr>
            <w:tcW w:w="3150" w:type="dxa"/>
            <w:vAlign w:val="center"/>
          </w:tcPr>
          <w:p w14:paraId="4BAE24AC">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微调螺旋失灵</w:t>
            </w:r>
          </w:p>
        </w:tc>
        <w:tc>
          <w:tcPr>
            <w:tcW w:w="782" w:type="dxa"/>
            <w:vAlign w:val="center"/>
          </w:tcPr>
          <w:p w14:paraId="6FA1796E">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2081DA5A">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49</w:t>
            </w:r>
          </w:p>
        </w:tc>
        <w:tc>
          <w:tcPr>
            <w:tcW w:w="3064" w:type="dxa"/>
            <w:vAlign w:val="center"/>
          </w:tcPr>
          <w:p w14:paraId="469183C4">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小数精度不正确</w:t>
            </w:r>
          </w:p>
        </w:tc>
        <w:tc>
          <w:tcPr>
            <w:tcW w:w="868" w:type="dxa"/>
            <w:vAlign w:val="center"/>
          </w:tcPr>
          <w:p w14:paraId="7B6C944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1BF9EB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 w:hRule="atLeast"/>
          <w:jc w:val="center"/>
        </w:trPr>
        <w:tc>
          <w:tcPr>
            <w:tcW w:w="835" w:type="dxa"/>
            <w:vAlign w:val="center"/>
          </w:tcPr>
          <w:p w14:paraId="748EC4A4">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21</w:t>
            </w:r>
          </w:p>
        </w:tc>
        <w:tc>
          <w:tcPr>
            <w:tcW w:w="3150" w:type="dxa"/>
            <w:vAlign w:val="center"/>
          </w:tcPr>
          <w:p w14:paraId="2E799CF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微调不能归零</w:t>
            </w:r>
          </w:p>
        </w:tc>
        <w:tc>
          <w:tcPr>
            <w:tcW w:w="782" w:type="dxa"/>
            <w:vAlign w:val="center"/>
          </w:tcPr>
          <w:p w14:paraId="2E9FF734">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63E7F9C9">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50</w:t>
            </w:r>
          </w:p>
        </w:tc>
        <w:tc>
          <w:tcPr>
            <w:tcW w:w="3064" w:type="dxa"/>
            <w:vAlign w:val="center"/>
          </w:tcPr>
          <w:p w14:paraId="64CC1368">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气球压片不紧</w:t>
            </w:r>
          </w:p>
        </w:tc>
        <w:tc>
          <w:tcPr>
            <w:tcW w:w="868" w:type="dxa"/>
            <w:vAlign w:val="center"/>
          </w:tcPr>
          <w:p w14:paraId="62AED067">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575F81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 w:hRule="atLeast"/>
          <w:jc w:val="center"/>
        </w:trPr>
        <w:tc>
          <w:tcPr>
            <w:tcW w:w="835" w:type="dxa"/>
            <w:vAlign w:val="center"/>
          </w:tcPr>
          <w:p w14:paraId="692C5294">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22</w:t>
            </w:r>
          </w:p>
        </w:tc>
        <w:tc>
          <w:tcPr>
            <w:tcW w:w="3150" w:type="dxa"/>
            <w:vAlign w:val="center"/>
          </w:tcPr>
          <w:p w14:paraId="0DDAB39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微读数位灯泡不亮</w:t>
            </w:r>
          </w:p>
        </w:tc>
        <w:tc>
          <w:tcPr>
            <w:tcW w:w="782" w:type="dxa"/>
            <w:vAlign w:val="center"/>
          </w:tcPr>
          <w:p w14:paraId="778860DE">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087F8ED2">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51</w:t>
            </w:r>
          </w:p>
        </w:tc>
        <w:tc>
          <w:tcPr>
            <w:tcW w:w="3064" w:type="dxa"/>
            <w:vAlign w:val="center"/>
          </w:tcPr>
          <w:p w14:paraId="615928E6">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辅助胶管短</w:t>
            </w:r>
          </w:p>
        </w:tc>
        <w:tc>
          <w:tcPr>
            <w:tcW w:w="868" w:type="dxa"/>
            <w:vAlign w:val="center"/>
          </w:tcPr>
          <w:p w14:paraId="752366E4">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6C6517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 w:hRule="atLeast"/>
          <w:jc w:val="center"/>
        </w:trPr>
        <w:tc>
          <w:tcPr>
            <w:tcW w:w="835" w:type="dxa"/>
            <w:vAlign w:val="center"/>
          </w:tcPr>
          <w:p w14:paraId="00155194">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23</w:t>
            </w:r>
          </w:p>
        </w:tc>
        <w:tc>
          <w:tcPr>
            <w:tcW w:w="3150" w:type="dxa"/>
            <w:vAlign w:val="center"/>
          </w:tcPr>
          <w:p w14:paraId="2957525A">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目镜灯泡不亮</w:t>
            </w:r>
          </w:p>
        </w:tc>
        <w:tc>
          <w:tcPr>
            <w:tcW w:w="782" w:type="dxa"/>
            <w:vAlign w:val="center"/>
          </w:tcPr>
          <w:p w14:paraId="74CC5126">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7B23A108">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52</w:t>
            </w:r>
          </w:p>
        </w:tc>
        <w:tc>
          <w:tcPr>
            <w:tcW w:w="3064" w:type="dxa"/>
            <w:vAlign w:val="center"/>
          </w:tcPr>
          <w:p w14:paraId="437A3E78">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bidi="ar-SA"/>
              </w:rPr>
            </w:pPr>
          </w:p>
        </w:tc>
        <w:tc>
          <w:tcPr>
            <w:tcW w:w="868" w:type="dxa"/>
            <w:vAlign w:val="center"/>
          </w:tcPr>
          <w:p w14:paraId="3CA0ADE9">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5AE3E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jc w:val="center"/>
        </w:trPr>
        <w:tc>
          <w:tcPr>
            <w:tcW w:w="835" w:type="dxa"/>
            <w:vAlign w:val="center"/>
          </w:tcPr>
          <w:p w14:paraId="7718A7C9">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24</w:t>
            </w:r>
          </w:p>
        </w:tc>
        <w:tc>
          <w:tcPr>
            <w:tcW w:w="3150" w:type="dxa"/>
            <w:vAlign w:val="center"/>
          </w:tcPr>
          <w:p w14:paraId="1A4308DE">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缺目镜保护玻璃</w:t>
            </w:r>
          </w:p>
        </w:tc>
        <w:tc>
          <w:tcPr>
            <w:tcW w:w="782" w:type="dxa"/>
            <w:vAlign w:val="center"/>
          </w:tcPr>
          <w:p w14:paraId="25F47815">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0B6C457A">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53</w:t>
            </w:r>
          </w:p>
        </w:tc>
        <w:tc>
          <w:tcPr>
            <w:tcW w:w="3064" w:type="dxa"/>
            <w:vAlign w:val="center"/>
          </w:tcPr>
          <w:p w14:paraId="22B15DEB">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kern w:val="2"/>
                <w:sz w:val="21"/>
                <w:szCs w:val="21"/>
              </w:rPr>
            </w:pPr>
          </w:p>
        </w:tc>
        <w:tc>
          <w:tcPr>
            <w:tcW w:w="868" w:type="dxa"/>
            <w:vAlign w:val="center"/>
          </w:tcPr>
          <w:p w14:paraId="6C1C6B7B">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44F469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1" w:hRule="atLeast"/>
          <w:jc w:val="center"/>
        </w:trPr>
        <w:tc>
          <w:tcPr>
            <w:tcW w:w="835" w:type="dxa"/>
            <w:vAlign w:val="center"/>
          </w:tcPr>
          <w:p w14:paraId="296A4BF7">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25</w:t>
            </w:r>
          </w:p>
        </w:tc>
        <w:tc>
          <w:tcPr>
            <w:tcW w:w="3150" w:type="dxa"/>
            <w:vAlign w:val="center"/>
          </w:tcPr>
          <w:p w14:paraId="6C3CD619">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缺主调螺旋固定螺丝</w:t>
            </w:r>
          </w:p>
        </w:tc>
        <w:tc>
          <w:tcPr>
            <w:tcW w:w="782" w:type="dxa"/>
            <w:vAlign w:val="center"/>
          </w:tcPr>
          <w:p w14:paraId="40EBB88C">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49D26B98">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54</w:t>
            </w:r>
          </w:p>
        </w:tc>
        <w:tc>
          <w:tcPr>
            <w:tcW w:w="3064" w:type="dxa"/>
            <w:vAlign w:val="center"/>
          </w:tcPr>
          <w:p w14:paraId="13E7437F">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kern w:val="2"/>
                <w:sz w:val="21"/>
                <w:szCs w:val="21"/>
              </w:rPr>
            </w:pPr>
          </w:p>
        </w:tc>
        <w:tc>
          <w:tcPr>
            <w:tcW w:w="868" w:type="dxa"/>
            <w:vAlign w:val="center"/>
          </w:tcPr>
          <w:p w14:paraId="1E38BD32">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28026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 w:hRule="atLeast"/>
          <w:jc w:val="center"/>
        </w:trPr>
        <w:tc>
          <w:tcPr>
            <w:tcW w:w="835" w:type="dxa"/>
            <w:vAlign w:val="center"/>
          </w:tcPr>
          <w:p w14:paraId="0DD1B30C">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26</w:t>
            </w:r>
          </w:p>
        </w:tc>
        <w:tc>
          <w:tcPr>
            <w:tcW w:w="3150" w:type="dxa"/>
            <w:vAlign w:val="center"/>
          </w:tcPr>
          <w:p w14:paraId="7A685763">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缺微读数观测保护玻璃</w:t>
            </w:r>
          </w:p>
        </w:tc>
        <w:tc>
          <w:tcPr>
            <w:tcW w:w="782" w:type="dxa"/>
            <w:vAlign w:val="center"/>
          </w:tcPr>
          <w:p w14:paraId="6A28F226">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63301B3B">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55</w:t>
            </w:r>
          </w:p>
        </w:tc>
        <w:tc>
          <w:tcPr>
            <w:tcW w:w="3064" w:type="dxa"/>
            <w:vAlign w:val="center"/>
          </w:tcPr>
          <w:p w14:paraId="57DD31D1">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bidi="ar-SA"/>
              </w:rPr>
            </w:pPr>
          </w:p>
        </w:tc>
        <w:tc>
          <w:tcPr>
            <w:tcW w:w="868" w:type="dxa"/>
            <w:vAlign w:val="center"/>
          </w:tcPr>
          <w:p w14:paraId="38E8D40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48A07D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6" w:hRule="atLeast"/>
          <w:jc w:val="center"/>
        </w:trPr>
        <w:tc>
          <w:tcPr>
            <w:tcW w:w="835" w:type="dxa"/>
            <w:vAlign w:val="center"/>
          </w:tcPr>
          <w:p w14:paraId="7EEB7417">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27</w:t>
            </w:r>
          </w:p>
        </w:tc>
        <w:tc>
          <w:tcPr>
            <w:tcW w:w="3150" w:type="dxa"/>
            <w:vAlign w:val="center"/>
          </w:tcPr>
          <w:p w14:paraId="0306A175">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目镜组固定不牢，松动转圈</w:t>
            </w:r>
          </w:p>
        </w:tc>
        <w:tc>
          <w:tcPr>
            <w:tcW w:w="782" w:type="dxa"/>
            <w:vAlign w:val="center"/>
          </w:tcPr>
          <w:p w14:paraId="7264A160">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1CD22F8B">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56</w:t>
            </w:r>
          </w:p>
        </w:tc>
        <w:tc>
          <w:tcPr>
            <w:tcW w:w="3064" w:type="dxa"/>
            <w:vAlign w:val="center"/>
          </w:tcPr>
          <w:p w14:paraId="63F19F52">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bidi="ar-SA"/>
              </w:rPr>
            </w:pPr>
          </w:p>
        </w:tc>
        <w:tc>
          <w:tcPr>
            <w:tcW w:w="868" w:type="dxa"/>
            <w:vAlign w:val="center"/>
          </w:tcPr>
          <w:p w14:paraId="12DD962A">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449D23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 w:hRule="atLeast"/>
          <w:jc w:val="center"/>
        </w:trPr>
        <w:tc>
          <w:tcPr>
            <w:tcW w:w="835" w:type="dxa"/>
            <w:vAlign w:val="center"/>
          </w:tcPr>
          <w:p w14:paraId="7D143907">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28</w:t>
            </w:r>
          </w:p>
        </w:tc>
        <w:tc>
          <w:tcPr>
            <w:tcW w:w="3150" w:type="dxa"/>
            <w:vAlign w:val="center"/>
          </w:tcPr>
          <w:p w14:paraId="0BAF680E">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钠石灰硅胶装反</w:t>
            </w:r>
          </w:p>
        </w:tc>
        <w:tc>
          <w:tcPr>
            <w:tcW w:w="782" w:type="dxa"/>
            <w:vAlign w:val="center"/>
          </w:tcPr>
          <w:p w14:paraId="446AF75E">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4E651C56">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57</w:t>
            </w:r>
          </w:p>
        </w:tc>
        <w:tc>
          <w:tcPr>
            <w:tcW w:w="3064" w:type="dxa"/>
            <w:vAlign w:val="center"/>
          </w:tcPr>
          <w:p w14:paraId="790A97A3">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bidi="ar-SA"/>
              </w:rPr>
            </w:pPr>
          </w:p>
        </w:tc>
        <w:tc>
          <w:tcPr>
            <w:tcW w:w="868" w:type="dxa"/>
            <w:vAlign w:val="center"/>
          </w:tcPr>
          <w:p w14:paraId="29CB94A9">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r w14:paraId="5EFEC9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 w:hRule="atLeast"/>
          <w:jc w:val="center"/>
        </w:trPr>
        <w:tc>
          <w:tcPr>
            <w:tcW w:w="835" w:type="dxa"/>
            <w:vAlign w:val="center"/>
          </w:tcPr>
          <w:p w14:paraId="132EEBB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29</w:t>
            </w:r>
          </w:p>
        </w:tc>
        <w:tc>
          <w:tcPr>
            <w:tcW w:w="3150" w:type="dxa"/>
            <w:vAlign w:val="center"/>
          </w:tcPr>
          <w:p w14:paraId="7F530CB7">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钠石灰装药不足</w:t>
            </w:r>
          </w:p>
        </w:tc>
        <w:tc>
          <w:tcPr>
            <w:tcW w:w="782" w:type="dxa"/>
            <w:vAlign w:val="center"/>
          </w:tcPr>
          <w:p w14:paraId="3AF70B85">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c>
          <w:tcPr>
            <w:tcW w:w="847" w:type="dxa"/>
            <w:vAlign w:val="center"/>
          </w:tcPr>
          <w:p w14:paraId="7A3379BA">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58</w:t>
            </w:r>
          </w:p>
        </w:tc>
        <w:tc>
          <w:tcPr>
            <w:tcW w:w="3064" w:type="dxa"/>
            <w:vAlign w:val="center"/>
          </w:tcPr>
          <w:p w14:paraId="4147CF6C">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lang w:val="en-US" w:eastAsia="zh-CN" w:bidi="ar-SA"/>
              </w:rPr>
            </w:pPr>
          </w:p>
        </w:tc>
        <w:tc>
          <w:tcPr>
            <w:tcW w:w="868" w:type="dxa"/>
            <w:vAlign w:val="center"/>
          </w:tcPr>
          <w:p w14:paraId="4D8BD709">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color w:val="auto"/>
                <w:sz w:val="21"/>
                <w:szCs w:val="21"/>
              </w:rPr>
            </w:pPr>
          </w:p>
        </w:tc>
      </w:tr>
    </w:tbl>
    <w:p w14:paraId="15643AA4">
      <w:pPr>
        <w:pStyle w:val="17"/>
        <w:keepNext w:val="0"/>
        <w:keepLines w:val="0"/>
        <w:pageBreakBefore w:val="0"/>
        <w:widowControl w:val="0"/>
        <w:kinsoku/>
        <w:wordWrap/>
        <w:overflowPunct/>
        <w:topLinePunct w:val="0"/>
        <w:autoSpaceDE w:val="0"/>
        <w:autoSpaceDN w:val="0"/>
        <w:bidi w:val="0"/>
        <w:snapToGrid w:val="0"/>
        <w:spacing w:line="560" w:lineRule="exact"/>
        <w:ind w:left="0"/>
        <w:jc w:val="left"/>
        <w:rPr>
          <w:rFonts w:hint="eastAsia" w:ascii="宋体" w:hAnsi="宋体" w:eastAsia="宋体" w:cs="宋体"/>
          <w:color w:val="auto"/>
          <w:sz w:val="21"/>
          <w:szCs w:val="21"/>
        </w:rPr>
      </w:pPr>
    </w:p>
    <w:p w14:paraId="1192D3AA">
      <w:pPr>
        <w:pStyle w:val="17"/>
        <w:keepNext w:val="0"/>
        <w:keepLines w:val="0"/>
        <w:pageBreakBefore w:val="0"/>
        <w:widowControl w:val="0"/>
        <w:kinsoku/>
        <w:wordWrap/>
        <w:overflowPunct/>
        <w:topLinePunct w:val="0"/>
        <w:autoSpaceDE w:val="0"/>
        <w:autoSpaceDN w:val="0"/>
        <w:bidi w:val="0"/>
        <w:snapToGrid w:val="0"/>
        <w:spacing w:line="560" w:lineRule="exact"/>
        <w:ind w:firstLine="600"/>
        <w:jc w:val="left"/>
        <w:rPr>
          <w:rFonts w:hint="eastAsia" w:ascii="宋体" w:hAnsi="宋体" w:eastAsia="宋体" w:cs="宋体"/>
          <w:color w:val="auto"/>
          <w:sz w:val="21"/>
          <w:szCs w:val="21"/>
        </w:rPr>
      </w:pPr>
    </w:p>
    <w:p w14:paraId="67C48BF5">
      <w:pPr>
        <w:keepNext w:val="0"/>
        <w:keepLines w:val="0"/>
        <w:pageBreakBefore w:val="0"/>
        <w:widowControl w:val="0"/>
        <w:kinsoku/>
        <w:wordWrap/>
        <w:overflowPunct/>
        <w:topLinePunct w:val="0"/>
        <w:autoSpaceDE w:val="0"/>
        <w:autoSpaceDN w:val="0"/>
        <w:bidi w:val="0"/>
        <w:rPr>
          <w:rFonts w:hint="eastAsia" w:ascii="宋体" w:hAnsi="宋体" w:eastAsia="宋体" w:cs="宋体"/>
          <w:color w:val="auto"/>
          <w:sz w:val="21"/>
          <w:szCs w:val="21"/>
        </w:rPr>
      </w:pPr>
    </w:p>
    <w:p w14:paraId="0FFF2B8C">
      <w:pPr>
        <w:keepNext w:val="0"/>
        <w:keepLines w:val="0"/>
        <w:pageBreakBefore w:val="0"/>
        <w:widowControl w:val="0"/>
        <w:kinsoku/>
        <w:wordWrap/>
        <w:overflowPunct/>
        <w:topLinePunct w:val="0"/>
        <w:autoSpaceDE w:val="0"/>
        <w:autoSpaceDN w:val="0"/>
        <w:bidi w:val="0"/>
        <w:rPr>
          <w:rFonts w:hint="eastAsia" w:ascii="宋体" w:hAnsi="宋体" w:eastAsia="宋体" w:cs="宋体"/>
          <w:color w:val="auto"/>
          <w:sz w:val="21"/>
          <w:szCs w:val="21"/>
        </w:rPr>
      </w:pPr>
    </w:p>
    <w:p w14:paraId="55AAAEDD">
      <w:pPr>
        <w:keepNext w:val="0"/>
        <w:keepLines w:val="0"/>
        <w:pageBreakBefore w:val="0"/>
        <w:widowControl w:val="0"/>
        <w:kinsoku/>
        <w:wordWrap/>
        <w:overflowPunct/>
        <w:topLinePunct w:val="0"/>
        <w:autoSpaceDE w:val="0"/>
        <w:autoSpaceDN w:val="0"/>
        <w:bidi w:val="0"/>
        <w:rPr>
          <w:rFonts w:hint="eastAsia" w:ascii="宋体" w:hAnsi="宋体" w:eastAsia="宋体" w:cs="宋体"/>
          <w:color w:val="auto"/>
          <w:sz w:val="21"/>
          <w:szCs w:val="21"/>
        </w:rPr>
      </w:pPr>
    </w:p>
    <w:p w14:paraId="683E5A24">
      <w:pPr>
        <w:keepNext w:val="0"/>
        <w:keepLines w:val="0"/>
        <w:pageBreakBefore w:val="0"/>
        <w:widowControl w:val="0"/>
        <w:kinsoku/>
        <w:wordWrap/>
        <w:overflowPunct/>
        <w:topLinePunct w:val="0"/>
        <w:autoSpaceDE w:val="0"/>
        <w:autoSpaceDN w:val="0"/>
        <w:bidi w:val="0"/>
        <w:rPr>
          <w:rFonts w:hint="eastAsia" w:ascii="宋体" w:hAnsi="宋体" w:eastAsia="宋体" w:cs="宋体"/>
          <w:color w:val="auto"/>
          <w:sz w:val="21"/>
          <w:szCs w:val="21"/>
        </w:rPr>
      </w:pPr>
    </w:p>
    <w:p w14:paraId="2A00AAD6">
      <w:pPr>
        <w:keepNext w:val="0"/>
        <w:keepLines w:val="0"/>
        <w:pageBreakBefore w:val="0"/>
        <w:widowControl w:val="0"/>
        <w:kinsoku/>
        <w:wordWrap/>
        <w:overflowPunct/>
        <w:topLinePunct w:val="0"/>
        <w:autoSpaceDE w:val="0"/>
        <w:autoSpaceDN w:val="0"/>
        <w:bidi w:val="0"/>
        <w:rPr>
          <w:rFonts w:hint="eastAsia" w:ascii="宋体" w:hAnsi="宋体" w:eastAsia="宋体" w:cs="宋体"/>
          <w:color w:val="auto"/>
          <w:sz w:val="21"/>
          <w:szCs w:val="21"/>
        </w:rPr>
      </w:pPr>
    </w:p>
    <w:p w14:paraId="3CFE8BE4">
      <w:pPr>
        <w:keepNext w:val="0"/>
        <w:keepLines w:val="0"/>
        <w:pageBreakBefore w:val="0"/>
        <w:widowControl w:val="0"/>
        <w:kinsoku/>
        <w:wordWrap/>
        <w:overflowPunct/>
        <w:topLinePunct w:val="0"/>
        <w:autoSpaceDE w:val="0"/>
        <w:autoSpaceDN w:val="0"/>
        <w:bidi w:val="0"/>
        <w:spacing w:after="156"/>
        <w:jc w:val="both"/>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附件3</w:t>
      </w:r>
    </w:p>
    <w:p w14:paraId="3BD761A4">
      <w:pPr>
        <w:keepNext w:val="0"/>
        <w:keepLines w:val="0"/>
        <w:pageBreakBefore w:val="0"/>
        <w:widowControl w:val="0"/>
        <w:kinsoku/>
        <w:wordWrap/>
        <w:overflowPunct/>
        <w:topLinePunct w:val="0"/>
        <w:autoSpaceDE w:val="0"/>
        <w:autoSpaceDN w:val="0"/>
        <w:bidi w:val="0"/>
        <w:spacing w:after="156"/>
        <w:ind w:firstLine="1265" w:firstLineChars="600"/>
        <w:rPr>
          <w:rFonts w:hint="eastAsia" w:ascii="宋体" w:hAnsi="宋体" w:eastAsia="宋体" w:cs="宋体"/>
          <w:b/>
          <w:bCs/>
          <w:color w:val="auto"/>
          <w:sz w:val="21"/>
          <w:szCs w:val="21"/>
        </w:rPr>
      </w:pPr>
    </w:p>
    <w:p w14:paraId="3C6FEA5A">
      <w:pPr>
        <w:keepNext w:val="0"/>
        <w:keepLines w:val="0"/>
        <w:pageBreakBefore w:val="0"/>
        <w:widowControl w:val="0"/>
        <w:kinsoku/>
        <w:wordWrap/>
        <w:overflowPunct/>
        <w:topLinePunct w:val="0"/>
        <w:autoSpaceDE w:val="0"/>
        <w:autoSpaceDN w:val="0"/>
        <w:bidi w:val="0"/>
        <w:spacing w:after="156"/>
        <w:ind w:firstLine="1265" w:firstLineChars="600"/>
        <w:rPr>
          <w:rFonts w:hint="eastAsia" w:ascii="宋体" w:hAnsi="宋体" w:eastAsia="宋体" w:cs="宋体"/>
          <w:b/>
          <w:bCs/>
          <w:color w:val="auto"/>
          <w:sz w:val="21"/>
          <w:szCs w:val="21"/>
        </w:rPr>
      </w:pPr>
      <w:r>
        <w:rPr>
          <w:rFonts w:hint="eastAsia" w:ascii="宋体" w:hAnsi="宋体" w:eastAsia="宋体" w:cs="宋体"/>
          <w:b/>
          <w:bCs/>
          <w:color w:val="auto"/>
          <w:sz w:val="21"/>
          <w:szCs w:val="21"/>
        </w:rPr>
        <w:t>附表</w:t>
      </w:r>
      <w:r>
        <w:rPr>
          <w:rFonts w:hint="eastAsia" w:ascii="宋体" w:hAnsi="宋体" w:eastAsia="宋体" w:cs="宋体"/>
          <w:b/>
          <w:bCs/>
          <w:color w:val="auto"/>
          <w:sz w:val="21"/>
          <w:szCs w:val="21"/>
          <w:lang w:val="en-US" w:eastAsia="zh-CN"/>
        </w:rPr>
        <w:t>3</w:t>
      </w:r>
      <w:r>
        <w:rPr>
          <w:rFonts w:hint="eastAsia" w:ascii="宋体" w:hAnsi="宋体" w:eastAsia="宋体" w:cs="宋体"/>
          <w:b/>
          <w:bCs/>
          <w:color w:val="auto"/>
          <w:sz w:val="21"/>
          <w:szCs w:val="21"/>
        </w:rPr>
        <w:t xml:space="preserve">   光学瓦斯检定器的选定、故障判断评分标准</w:t>
      </w:r>
    </w:p>
    <w:tbl>
      <w:tblPr>
        <w:tblStyle w:val="11"/>
        <w:tblpPr w:leftFromText="181" w:rightFromText="181" w:vertAnchor="text" w:horzAnchor="margin" w:tblpXSpec="center" w:tblpY="1"/>
        <w:tblOverlap w:val="never"/>
        <w:tblW w:w="92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1704"/>
        <w:gridCol w:w="2566"/>
        <w:gridCol w:w="869"/>
        <w:gridCol w:w="2408"/>
        <w:gridCol w:w="1094"/>
      </w:tblGrid>
      <w:tr w14:paraId="0CD7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blHeader/>
        </w:trPr>
        <w:tc>
          <w:tcPr>
            <w:tcW w:w="645" w:type="dxa"/>
            <w:vAlign w:val="center"/>
          </w:tcPr>
          <w:p w14:paraId="3964CD08">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项目</w:t>
            </w:r>
          </w:p>
        </w:tc>
        <w:tc>
          <w:tcPr>
            <w:tcW w:w="1704" w:type="dxa"/>
            <w:vAlign w:val="center"/>
          </w:tcPr>
          <w:p w14:paraId="5BDE410C">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操作</w:t>
            </w:r>
          </w:p>
          <w:p w14:paraId="0E0A3C2B">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内容</w:t>
            </w:r>
          </w:p>
        </w:tc>
        <w:tc>
          <w:tcPr>
            <w:tcW w:w="2566" w:type="dxa"/>
            <w:vAlign w:val="center"/>
          </w:tcPr>
          <w:p w14:paraId="4AE5BF12">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操作标准</w:t>
            </w:r>
          </w:p>
        </w:tc>
        <w:tc>
          <w:tcPr>
            <w:tcW w:w="869" w:type="dxa"/>
            <w:vAlign w:val="center"/>
          </w:tcPr>
          <w:p w14:paraId="1548A4EE">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标准分</w:t>
            </w:r>
            <w:r>
              <w:rPr>
                <w:rFonts w:hint="eastAsia" w:ascii="宋体" w:hAnsi="宋体" w:eastAsia="宋体" w:cs="宋体"/>
                <w:b/>
                <w:color w:val="auto"/>
                <w:sz w:val="21"/>
                <w:szCs w:val="21"/>
                <w:lang w:val="en-US" w:eastAsia="zh-CN"/>
              </w:rPr>
              <w:t>/分</w:t>
            </w:r>
          </w:p>
        </w:tc>
        <w:tc>
          <w:tcPr>
            <w:tcW w:w="2408" w:type="dxa"/>
            <w:vAlign w:val="center"/>
          </w:tcPr>
          <w:p w14:paraId="56752190">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评分标准</w:t>
            </w:r>
          </w:p>
        </w:tc>
        <w:tc>
          <w:tcPr>
            <w:tcW w:w="1094" w:type="dxa"/>
            <w:vAlign w:val="center"/>
          </w:tcPr>
          <w:p w14:paraId="2CBDEE88">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实得分</w:t>
            </w:r>
          </w:p>
        </w:tc>
      </w:tr>
      <w:tr w14:paraId="5CD04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4" w:hRule="atLeast"/>
          <w:tblHeader/>
        </w:trPr>
        <w:tc>
          <w:tcPr>
            <w:tcW w:w="645" w:type="dxa"/>
            <w:vMerge w:val="restart"/>
            <w:vAlign w:val="center"/>
          </w:tcPr>
          <w:p w14:paraId="3990948B">
            <w:pPr>
              <w:keepNext w:val="0"/>
              <w:keepLines w:val="0"/>
              <w:pageBreakBefore w:val="0"/>
              <w:widowControl w:val="0"/>
              <w:kinsoku/>
              <w:wordWrap/>
              <w:overflowPunct/>
              <w:topLinePunct w:val="0"/>
              <w:autoSpaceDE w:val="0"/>
              <w:autoSpaceDN w:val="0"/>
              <w:bidi w:val="0"/>
              <w:spacing w:line="60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光学瓦斯检定器选定及故障判断</w:t>
            </w:r>
          </w:p>
        </w:tc>
        <w:tc>
          <w:tcPr>
            <w:tcW w:w="1704" w:type="dxa"/>
            <w:vAlign w:val="center"/>
          </w:tcPr>
          <w:p w14:paraId="70743F32">
            <w:pPr>
              <w:keepNext w:val="0"/>
              <w:keepLines w:val="0"/>
              <w:pageBreakBefore w:val="0"/>
              <w:widowControl w:val="0"/>
              <w:kinsoku/>
              <w:wordWrap/>
              <w:overflowPunct/>
              <w:topLinePunct w:val="0"/>
              <w:autoSpaceDE w:val="0"/>
              <w:autoSpaceDN w:val="0"/>
              <w:bidi w:val="0"/>
              <w:spacing w:line="600" w:lineRule="auto"/>
              <w:ind w:firstLine="210" w:firstLineChars="100"/>
              <w:jc w:val="center"/>
              <w:rPr>
                <w:rFonts w:hint="eastAsia" w:ascii="宋体" w:hAnsi="宋体" w:eastAsia="宋体" w:cs="宋体"/>
                <w:color w:val="auto"/>
                <w:sz w:val="21"/>
                <w:szCs w:val="21"/>
              </w:rPr>
            </w:pPr>
            <w:r>
              <w:rPr>
                <w:rFonts w:hint="eastAsia" w:ascii="宋体" w:hAnsi="宋体" w:eastAsia="宋体" w:cs="宋体"/>
                <w:color w:val="auto"/>
                <w:sz w:val="21"/>
                <w:szCs w:val="21"/>
              </w:rPr>
              <w:t>故障判断</w:t>
            </w:r>
          </w:p>
        </w:tc>
        <w:tc>
          <w:tcPr>
            <w:tcW w:w="2566" w:type="dxa"/>
            <w:vAlign w:val="center"/>
          </w:tcPr>
          <w:p w14:paraId="7AFA9A40">
            <w:pPr>
              <w:keepNext w:val="0"/>
              <w:keepLines w:val="0"/>
              <w:pageBreakBefore w:val="0"/>
              <w:widowControl w:val="0"/>
              <w:kinsoku/>
              <w:wordWrap/>
              <w:overflowPunct/>
              <w:topLinePunct w:val="0"/>
              <w:autoSpaceDE w:val="0"/>
              <w:autoSpaceDN w:val="0"/>
              <w:bidi w:val="0"/>
              <w:spacing w:line="600" w:lineRule="auto"/>
              <w:ind w:firstLine="420" w:firstLineChars="200"/>
              <w:jc w:val="center"/>
              <w:rPr>
                <w:rFonts w:hint="eastAsia" w:ascii="宋体" w:hAnsi="宋体" w:eastAsia="宋体" w:cs="宋体"/>
                <w:color w:val="auto"/>
                <w:sz w:val="21"/>
                <w:szCs w:val="21"/>
              </w:rPr>
            </w:pPr>
            <w:r>
              <w:rPr>
                <w:rFonts w:hint="eastAsia" w:ascii="宋体" w:hAnsi="宋体" w:eastAsia="宋体" w:cs="宋体"/>
                <w:color w:val="auto"/>
                <w:sz w:val="21"/>
                <w:szCs w:val="21"/>
              </w:rPr>
              <w:t>对抽取的一组（每组5台）光学瓦斯检定器进行检查、判断，查出并记录其中4台仪器存在的10个故障</w:t>
            </w:r>
          </w:p>
        </w:tc>
        <w:tc>
          <w:tcPr>
            <w:tcW w:w="869" w:type="dxa"/>
            <w:vAlign w:val="center"/>
          </w:tcPr>
          <w:p w14:paraId="3C081A01">
            <w:pPr>
              <w:keepNext w:val="0"/>
              <w:keepLines w:val="0"/>
              <w:pageBreakBefore w:val="0"/>
              <w:widowControl w:val="0"/>
              <w:kinsoku/>
              <w:wordWrap/>
              <w:overflowPunct/>
              <w:topLinePunct w:val="0"/>
              <w:autoSpaceDE w:val="0"/>
              <w:autoSpaceDN w:val="0"/>
              <w:bidi w:val="0"/>
              <w:spacing w:line="600" w:lineRule="auto"/>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w:t>
            </w:r>
          </w:p>
        </w:tc>
        <w:tc>
          <w:tcPr>
            <w:tcW w:w="2408" w:type="dxa"/>
            <w:vAlign w:val="center"/>
          </w:tcPr>
          <w:p w14:paraId="3C079C7C">
            <w:pPr>
              <w:keepNext w:val="0"/>
              <w:keepLines w:val="0"/>
              <w:pageBreakBefore w:val="0"/>
              <w:widowControl w:val="0"/>
              <w:kinsoku/>
              <w:wordWrap/>
              <w:overflowPunct/>
              <w:topLinePunct w:val="0"/>
              <w:autoSpaceDE w:val="0"/>
              <w:autoSpaceDN w:val="0"/>
              <w:bidi w:val="0"/>
              <w:spacing w:line="60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多</w:t>
            </w:r>
            <w:r>
              <w:rPr>
                <w:rFonts w:hint="eastAsia" w:ascii="宋体" w:hAnsi="宋体" w:eastAsia="宋体" w:cs="宋体"/>
                <w:color w:val="auto"/>
                <w:sz w:val="21"/>
                <w:szCs w:val="21"/>
              </w:rPr>
              <w:t>判、漏判仪器故障点（问题、故障等），每处扣分</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分</w:t>
            </w:r>
          </w:p>
        </w:tc>
        <w:tc>
          <w:tcPr>
            <w:tcW w:w="1094" w:type="dxa"/>
            <w:vAlign w:val="center"/>
          </w:tcPr>
          <w:p w14:paraId="6FE3A288">
            <w:pPr>
              <w:keepNext w:val="0"/>
              <w:keepLines w:val="0"/>
              <w:pageBreakBefore w:val="0"/>
              <w:widowControl w:val="0"/>
              <w:kinsoku/>
              <w:wordWrap/>
              <w:overflowPunct/>
              <w:topLinePunct w:val="0"/>
              <w:autoSpaceDE w:val="0"/>
              <w:autoSpaceDN w:val="0"/>
              <w:bidi w:val="0"/>
              <w:spacing w:line="600" w:lineRule="auto"/>
              <w:jc w:val="center"/>
              <w:rPr>
                <w:rFonts w:hint="eastAsia" w:ascii="宋体" w:hAnsi="宋体" w:eastAsia="宋体" w:cs="宋体"/>
                <w:color w:val="auto"/>
                <w:sz w:val="21"/>
                <w:szCs w:val="21"/>
              </w:rPr>
            </w:pPr>
          </w:p>
        </w:tc>
      </w:tr>
      <w:tr w14:paraId="26B4C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3" w:hRule="atLeast"/>
          <w:tblHeader/>
        </w:trPr>
        <w:tc>
          <w:tcPr>
            <w:tcW w:w="645" w:type="dxa"/>
            <w:vMerge w:val="continue"/>
            <w:vAlign w:val="center"/>
          </w:tcPr>
          <w:p w14:paraId="02DCFC95">
            <w:pPr>
              <w:keepNext w:val="0"/>
              <w:keepLines w:val="0"/>
              <w:pageBreakBefore w:val="0"/>
              <w:widowControl w:val="0"/>
              <w:kinsoku/>
              <w:wordWrap/>
              <w:overflowPunct/>
              <w:topLinePunct w:val="0"/>
              <w:autoSpaceDE w:val="0"/>
              <w:autoSpaceDN w:val="0"/>
              <w:bidi w:val="0"/>
              <w:spacing w:line="600" w:lineRule="auto"/>
              <w:jc w:val="center"/>
              <w:rPr>
                <w:rFonts w:hint="eastAsia" w:ascii="宋体" w:hAnsi="宋体" w:eastAsia="宋体" w:cs="宋体"/>
                <w:color w:val="auto"/>
                <w:sz w:val="21"/>
                <w:szCs w:val="21"/>
              </w:rPr>
            </w:pPr>
          </w:p>
        </w:tc>
        <w:tc>
          <w:tcPr>
            <w:tcW w:w="1704" w:type="dxa"/>
            <w:vAlign w:val="center"/>
          </w:tcPr>
          <w:p w14:paraId="265EFC01">
            <w:pPr>
              <w:keepNext w:val="0"/>
              <w:keepLines w:val="0"/>
              <w:pageBreakBefore w:val="0"/>
              <w:widowControl w:val="0"/>
              <w:kinsoku/>
              <w:wordWrap/>
              <w:overflowPunct/>
              <w:topLinePunct w:val="0"/>
              <w:autoSpaceDE w:val="0"/>
              <w:autoSpaceDN w:val="0"/>
              <w:bidi w:val="0"/>
              <w:spacing w:line="60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选出合格仪器</w:t>
            </w:r>
          </w:p>
        </w:tc>
        <w:tc>
          <w:tcPr>
            <w:tcW w:w="2566" w:type="dxa"/>
            <w:vAlign w:val="center"/>
          </w:tcPr>
          <w:p w14:paraId="74AF72B7">
            <w:pPr>
              <w:keepNext w:val="0"/>
              <w:keepLines w:val="0"/>
              <w:pageBreakBefore w:val="0"/>
              <w:widowControl w:val="0"/>
              <w:kinsoku/>
              <w:wordWrap/>
              <w:overflowPunct/>
              <w:topLinePunct w:val="0"/>
              <w:autoSpaceDE w:val="0"/>
              <w:autoSpaceDN w:val="0"/>
              <w:bidi w:val="0"/>
              <w:spacing w:line="60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从中选出1台完好仪器，在对应仪器编号后填写完好</w:t>
            </w:r>
          </w:p>
        </w:tc>
        <w:tc>
          <w:tcPr>
            <w:tcW w:w="869" w:type="dxa"/>
            <w:vAlign w:val="center"/>
          </w:tcPr>
          <w:p w14:paraId="5DC98FB2">
            <w:pPr>
              <w:keepNext w:val="0"/>
              <w:keepLines w:val="0"/>
              <w:pageBreakBefore w:val="0"/>
              <w:widowControl w:val="0"/>
              <w:kinsoku/>
              <w:wordWrap/>
              <w:overflowPunct/>
              <w:topLinePunct w:val="0"/>
              <w:autoSpaceDE w:val="0"/>
              <w:autoSpaceDN w:val="0"/>
              <w:bidi w:val="0"/>
              <w:spacing w:line="600" w:lineRule="auto"/>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5</w:t>
            </w:r>
          </w:p>
        </w:tc>
        <w:tc>
          <w:tcPr>
            <w:tcW w:w="2408" w:type="dxa"/>
            <w:vAlign w:val="center"/>
          </w:tcPr>
          <w:p w14:paraId="66B1853F">
            <w:pPr>
              <w:keepNext w:val="0"/>
              <w:keepLines w:val="0"/>
              <w:pageBreakBefore w:val="0"/>
              <w:widowControl w:val="0"/>
              <w:kinsoku/>
              <w:wordWrap/>
              <w:overflowPunct/>
              <w:topLinePunct w:val="0"/>
              <w:autoSpaceDE w:val="0"/>
              <w:autoSpaceDN w:val="0"/>
              <w:bidi w:val="0"/>
              <w:spacing w:line="60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合格仪器选择错误，扣</w:t>
            </w:r>
            <w:r>
              <w:rPr>
                <w:rFonts w:hint="eastAsia" w:ascii="宋体" w:hAnsi="宋体" w:cs="宋体"/>
                <w:color w:val="auto"/>
                <w:sz w:val="21"/>
                <w:szCs w:val="21"/>
                <w:lang w:val="en-US" w:eastAsia="zh-CN"/>
              </w:rPr>
              <w:t>5</w:t>
            </w:r>
            <w:r>
              <w:rPr>
                <w:rFonts w:hint="eastAsia" w:ascii="宋体" w:hAnsi="宋体" w:eastAsia="宋体" w:cs="宋体"/>
                <w:color w:val="auto"/>
                <w:sz w:val="21"/>
                <w:szCs w:val="21"/>
              </w:rPr>
              <w:t>分</w:t>
            </w:r>
          </w:p>
        </w:tc>
        <w:tc>
          <w:tcPr>
            <w:tcW w:w="1094" w:type="dxa"/>
            <w:vAlign w:val="center"/>
          </w:tcPr>
          <w:p w14:paraId="177E0974">
            <w:pPr>
              <w:keepNext w:val="0"/>
              <w:keepLines w:val="0"/>
              <w:pageBreakBefore w:val="0"/>
              <w:widowControl w:val="0"/>
              <w:kinsoku/>
              <w:wordWrap/>
              <w:overflowPunct/>
              <w:topLinePunct w:val="0"/>
              <w:autoSpaceDE w:val="0"/>
              <w:autoSpaceDN w:val="0"/>
              <w:bidi w:val="0"/>
              <w:spacing w:line="600" w:lineRule="auto"/>
              <w:jc w:val="center"/>
              <w:rPr>
                <w:rFonts w:hint="eastAsia" w:ascii="宋体" w:hAnsi="宋体" w:eastAsia="宋体" w:cs="宋体"/>
                <w:color w:val="auto"/>
                <w:sz w:val="21"/>
                <w:szCs w:val="21"/>
              </w:rPr>
            </w:pPr>
          </w:p>
        </w:tc>
      </w:tr>
      <w:tr w14:paraId="6ED29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6" w:hRule="atLeast"/>
          <w:tblHeader/>
        </w:trPr>
        <w:tc>
          <w:tcPr>
            <w:tcW w:w="645" w:type="dxa"/>
            <w:vMerge w:val="continue"/>
            <w:vAlign w:val="center"/>
          </w:tcPr>
          <w:p w14:paraId="0DA8AE1C">
            <w:pPr>
              <w:keepNext w:val="0"/>
              <w:keepLines w:val="0"/>
              <w:pageBreakBefore w:val="0"/>
              <w:widowControl w:val="0"/>
              <w:kinsoku/>
              <w:wordWrap/>
              <w:overflowPunct/>
              <w:topLinePunct w:val="0"/>
              <w:autoSpaceDE w:val="0"/>
              <w:autoSpaceDN w:val="0"/>
              <w:bidi w:val="0"/>
              <w:spacing w:line="600" w:lineRule="auto"/>
              <w:jc w:val="center"/>
              <w:rPr>
                <w:rFonts w:hint="eastAsia" w:ascii="宋体" w:hAnsi="宋体" w:eastAsia="宋体" w:cs="宋体"/>
                <w:color w:val="auto"/>
                <w:sz w:val="21"/>
                <w:szCs w:val="21"/>
              </w:rPr>
            </w:pPr>
          </w:p>
        </w:tc>
        <w:tc>
          <w:tcPr>
            <w:tcW w:w="1704" w:type="dxa"/>
            <w:vAlign w:val="center"/>
          </w:tcPr>
          <w:p w14:paraId="08D5B112">
            <w:pPr>
              <w:keepNext w:val="0"/>
              <w:keepLines w:val="0"/>
              <w:pageBreakBefore w:val="0"/>
              <w:widowControl w:val="0"/>
              <w:kinsoku/>
              <w:wordWrap/>
              <w:overflowPunct/>
              <w:topLinePunct w:val="0"/>
              <w:autoSpaceDE w:val="0"/>
              <w:autoSpaceDN w:val="0"/>
              <w:bidi w:val="0"/>
              <w:spacing w:line="60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恢复现场</w:t>
            </w:r>
          </w:p>
        </w:tc>
        <w:tc>
          <w:tcPr>
            <w:tcW w:w="2566" w:type="dxa"/>
            <w:vAlign w:val="center"/>
          </w:tcPr>
          <w:p w14:paraId="3D5A17D0">
            <w:pPr>
              <w:keepNext w:val="0"/>
              <w:keepLines w:val="0"/>
              <w:pageBreakBefore w:val="0"/>
              <w:widowControl w:val="0"/>
              <w:kinsoku/>
              <w:wordWrap/>
              <w:overflowPunct/>
              <w:topLinePunct w:val="0"/>
              <w:autoSpaceDE w:val="0"/>
              <w:autoSpaceDN w:val="0"/>
              <w:bidi w:val="0"/>
              <w:spacing w:line="60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完成操作后，应将现场仪器恢复原状，并整齐摆放</w:t>
            </w:r>
          </w:p>
        </w:tc>
        <w:tc>
          <w:tcPr>
            <w:tcW w:w="869" w:type="dxa"/>
            <w:vAlign w:val="center"/>
          </w:tcPr>
          <w:p w14:paraId="7BF032AD">
            <w:pPr>
              <w:keepNext w:val="0"/>
              <w:keepLines w:val="0"/>
              <w:pageBreakBefore w:val="0"/>
              <w:widowControl w:val="0"/>
              <w:kinsoku/>
              <w:wordWrap/>
              <w:overflowPunct/>
              <w:topLinePunct w:val="0"/>
              <w:autoSpaceDE w:val="0"/>
              <w:autoSpaceDN w:val="0"/>
              <w:bidi w:val="0"/>
              <w:spacing w:line="600" w:lineRule="auto"/>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5</w:t>
            </w:r>
          </w:p>
        </w:tc>
        <w:tc>
          <w:tcPr>
            <w:tcW w:w="2408" w:type="dxa"/>
            <w:vAlign w:val="center"/>
          </w:tcPr>
          <w:p w14:paraId="3498F580">
            <w:pPr>
              <w:keepNext w:val="0"/>
              <w:keepLines w:val="0"/>
              <w:pageBreakBefore w:val="0"/>
              <w:widowControl w:val="0"/>
              <w:kinsoku/>
              <w:wordWrap/>
              <w:overflowPunct/>
              <w:topLinePunct w:val="0"/>
              <w:autoSpaceDE w:val="0"/>
              <w:autoSpaceDN w:val="0"/>
              <w:bidi w:val="0"/>
              <w:spacing w:line="600" w:lineRule="auto"/>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每恢复一台仪器得</w:t>
            </w:r>
            <w:r>
              <w:rPr>
                <w:rFonts w:hint="eastAsia" w:ascii="宋体" w:hAnsi="宋体" w:cs="宋体"/>
                <w:color w:val="auto"/>
                <w:sz w:val="21"/>
                <w:szCs w:val="21"/>
                <w:lang w:val="en-US" w:eastAsia="zh-CN"/>
              </w:rPr>
              <w:t>1</w:t>
            </w:r>
            <w:r>
              <w:rPr>
                <w:rFonts w:hint="eastAsia" w:ascii="宋体" w:hAnsi="宋体" w:eastAsia="宋体" w:cs="宋体"/>
                <w:color w:val="auto"/>
                <w:sz w:val="21"/>
                <w:szCs w:val="21"/>
              </w:rPr>
              <w:t>分</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未恢复仪器不得分</w:t>
            </w:r>
          </w:p>
        </w:tc>
        <w:tc>
          <w:tcPr>
            <w:tcW w:w="1094" w:type="dxa"/>
            <w:vAlign w:val="center"/>
          </w:tcPr>
          <w:p w14:paraId="01229062">
            <w:pPr>
              <w:keepNext w:val="0"/>
              <w:keepLines w:val="0"/>
              <w:pageBreakBefore w:val="0"/>
              <w:widowControl w:val="0"/>
              <w:kinsoku/>
              <w:wordWrap/>
              <w:overflowPunct/>
              <w:topLinePunct w:val="0"/>
              <w:autoSpaceDE w:val="0"/>
              <w:autoSpaceDN w:val="0"/>
              <w:bidi w:val="0"/>
              <w:spacing w:line="600" w:lineRule="auto"/>
              <w:jc w:val="center"/>
              <w:rPr>
                <w:rFonts w:hint="eastAsia" w:ascii="宋体" w:hAnsi="宋体" w:eastAsia="宋体" w:cs="宋体"/>
                <w:color w:val="auto"/>
                <w:sz w:val="21"/>
                <w:szCs w:val="21"/>
              </w:rPr>
            </w:pPr>
          </w:p>
        </w:tc>
      </w:tr>
      <w:tr w14:paraId="76562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blHeader/>
        </w:trPr>
        <w:tc>
          <w:tcPr>
            <w:tcW w:w="4915" w:type="dxa"/>
            <w:gridSpan w:val="3"/>
            <w:vAlign w:val="center"/>
          </w:tcPr>
          <w:p w14:paraId="55A6AB91">
            <w:pPr>
              <w:keepNext w:val="0"/>
              <w:keepLines w:val="0"/>
              <w:pageBreakBefore w:val="0"/>
              <w:widowControl w:val="0"/>
              <w:kinsoku/>
              <w:wordWrap/>
              <w:overflowPunct/>
              <w:topLinePunct w:val="0"/>
              <w:autoSpaceDE w:val="0"/>
              <w:autoSpaceDN w:val="0"/>
              <w:bidi w:val="0"/>
              <w:spacing w:line="600" w:lineRule="auto"/>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合计</w:t>
            </w:r>
          </w:p>
        </w:tc>
        <w:tc>
          <w:tcPr>
            <w:tcW w:w="869" w:type="dxa"/>
            <w:vAlign w:val="center"/>
          </w:tcPr>
          <w:p w14:paraId="65E89CE4">
            <w:pPr>
              <w:keepNext w:val="0"/>
              <w:keepLines w:val="0"/>
              <w:pageBreakBefore w:val="0"/>
              <w:widowControl w:val="0"/>
              <w:kinsoku/>
              <w:wordWrap/>
              <w:overflowPunct/>
              <w:topLinePunct w:val="0"/>
              <w:autoSpaceDE w:val="0"/>
              <w:autoSpaceDN w:val="0"/>
              <w:bidi w:val="0"/>
              <w:spacing w:line="600" w:lineRule="auto"/>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30</w:t>
            </w:r>
          </w:p>
        </w:tc>
        <w:tc>
          <w:tcPr>
            <w:tcW w:w="3502" w:type="dxa"/>
            <w:gridSpan w:val="2"/>
            <w:vAlign w:val="center"/>
          </w:tcPr>
          <w:p w14:paraId="31D7BD3D">
            <w:pPr>
              <w:keepNext w:val="0"/>
              <w:keepLines w:val="0"/>
              <w:pageBreakBefore w:val="0"/>
              <w:widowControl w:val="0"/>
              <w:kinsoku/>
              <w:wordWrap/>
              <w:overflowPunct/>
              <w:topLinePunct w:val="0"/>
              <w:autoSpaceDE w:val="0"/>
              <w:autoSpaceDN w:val="0"/>
              <w:bidi w:val="0"/>
              <w:spacing w:line="600" w:lineRule="auto"/>
              <w:jc w:val="center"/>
              <w:rPr>
                <w:rFonts w:hint="eastAsia" w:ascii="宋体" w:hAnsi="宋体" w:eastAsia="宋体" w:cs="宋体"/>
                <w:color w:val="auto"/>
                <w:sz w:val="21"/>
                <w:szCs w:val="21"/>
              </w:rPr>
            </w:pPr>
          </w:p>
        </w:tc>
      </w:tr>
    </w:tbl>
    <w:p w14:paraId="2C268070">
      <w:pPr>
        <w:pStyle w:val="18"/>
        <w:keepNext w:val="0"/>
        <w:keepLines w:val="0"/>
        <w:pageBreakBefore w:val="0"/>
        <w:widowControl w:val="0"/>
        <w:kinsoku/>
        <w:wordWrap/>
        <w:overflowPunct/>
        <w:topLinePunct w:val="0"/>
        <w:autoSpaceDE w:val="0"/>
        <w:autoSpaceDN w:val="0"/>
        <w:bidi w:val="0"/>
        <w:rPr>
          <w:rFonts w:hint="eastAsia" w:ascii="宋体" w:hAnsi="宋体" w:eastAsia="宋体" w:cs="宋体"/>
          <w:color w:val="auto"/>
          <w:sz w:val="21"/>
          <w:szCs w:val="21"/>
        </w:rPr>
      </w:pPr>
    </w:p>
    <w:p w14:paraId="1CB1CCFF">
      <w:pPr>
        <w:keepNext w:val="0"/>
        <w:keepLines w:val="0"/>
        <w:pageBreakBefore w:val="0"/>
        <w:widowControl w:val="0"/>
        <w:kinsoku/>
        <w:wordWrap/>
        <w:overflowPunct/>
        <w:topLinePunct w:val="0"/>
        <w:autoSpaceDE w:val="0"/>
        <w:autoSpaceDN w:val="0"/>
        <w:bidi w:val="0"/>
        <w:spacing w:after="156" w:line="480" w:lineRule="exact"/>
        <w:jc w:val="center"/>
        <w:rPr>
          <w:rFonts w:hint="eastAsia" w:ascii="宋体" w:hAnsi="宋体" w:eastAsia="宋体" w:cs="宋体"/>
          <w:b/>
          <w:bCs/>
          <w:color w:val="auto"/>
          <w:sz w:val="21"/>
          <w:szCs w:val="21"/>
        </w:rPr>
      </w:pPr>
    </w:p>
    <w:p w14:paraId="5A030F50">
      <w:pPr>
        <w:keepNext w:val="0"/>
        <w:keepLines w:val="0"/>
        <w:pageBreakBefore w:val="0"/>
        <w:widowControl w:val="0"/>
        <w:kinsoku/>
        <w:wordWrap/>
        <w:overflowPunct/>
        <w:topLinePunct w:val="0"/>
        <w:autoSpaceDE w:val="0"/>
        <w:autoSpaceDN w:val="0"/>
        <w:bidi w:val="0"/>
        <w:spacing w:after="156" w:line="480" w:lineRule="exact"/>
        <w:jc w:val="center"/>
        <w:rPr>
          <w:rFonts w:hint="eastAsia" w:ascii="宋体" w:hAnsi="宋体" w:eastAsia="宋体" w:cs="宋体"/>
          <w:b/>
          <w:bCs/>
          <w:color w:val="auto"/>
          <w:sz w:val="21"/>
          <w:szCs w:val="21"/>
        </w:rPr>
      </w:pPr>
    </w:p>
    <w:p w14:paraId="6977A2D7">
      <w:pPr>
        <w:keepNext w:val="0"/>
        <w:keepLines w:val="0"/>
        <w:pageBreakBefore w:val="0"/>
        <w:widowControl w:val="0"/>
        <w:kinsoku/>
        <w:wordWrap/>
        <w:overflowPunct/>
        <w:topLinePunct w:val="0"/>
        <w:autoSpaceDE w:val="0"/>
        <w:autoSpaceDN w:val="0"/>
        <w:bidi w:val="0"/>
        <w:spacing w:after="156" w:line="480" w:lineRule="exact"/>
        <w:jc w:val="center"/>
        <w:rPr>
          <w:rFonts w:hint="eastAsia" w:ascii="宋体" w:hAnsi="宋体" w:eastAsia="宋体" w:cs="宋体"/>
          <w:b/>
          <w:bCs/>
          <w:color w:val="auto"/>
          <w:sz w:val="21"/>
          <w:szCs w:val="21"/>
        </w:rPr>
      </w:pPr>
    </w:p>
    <w:p w14:paraId="6E77C4FB">
      <w:pPr>
        <w:keepNext w:val="0"/>
        <w:keepLines w:val="0"/>
        <w:pageBreakBefore w:val="0"/>
        <w:widowControl w:val="0"/>
        <w:kinsoku/>
        <w:wordWrap/>
        <w:overflowPunct/>
        <w:topLinePunct w:val="0"/>
        <w:autoSpaceDE w:val="0"/>
        <w:autoSpaceDN w:val="0"/>
        <w:bidi w:val="0"/>
        <w:spacing w:after="156" w:line="480" w:lineRule="exact"/>
        <w:jc w:val="center"/>
        <w:rPr>
          <w:rFonts w:hint="eastAsia" w:ascii="宋体" w:hAnsi="宋体" w:eastAsia="宋体" w:cs="宋体"/>
          <w:b/>
          <w:bCs/>
          <w:color w:val="auto"/>
          <w:sz w:val="21"/>
          <w:szCs w:val="21"/>
        </w:rPr>
      </w:pPr>
    </w:p>
    <w:p w14:paraId="237D4D57">
      <w:pPr>
        <w:keepNext w:val="0"/>
        <w:keepLines w:val="0"/>
        <w:pageBreakBefore w:val="0"/>
        <w:widowControl w:val="0"/>
        <w:kinsoku/>
        <w:wordWrap/>
        <w:overflowPunct/>
        <w:topLinePunct w:val="0"/>
        <w:autoSpaceDE w:val="0"/>
        <w:autoSpaceDN w:val="0"/>
        <w:bidi w:val="0"/>
        <w:spacing w:after="156" w:line="480" w:lineRule="exact"/>
        <w:jc w:val="center"/>
        <w:rPr>
          <w:rFonts w:hint="eastAsia" w:ascii="宋体" w:hAnsi="宋体" w:eastAsia="宋体" w:cs="宋体"/>
          <w:b/>
          <w:bCs/>
          <w:color w:val="auto"/>
          <w:sz w:val="21"/>
          <w:szCs w:val="21"/>
        </w:rPr>
      </w:pPr>
    </w:p>
    <w:p w14:paraId="203CEDB8">
      <w:pPr>
        <w:keepNext w:val="0"/>
        <w:keepLines w:val="0"/>
        <w:pageBreakBefore w:val="0"/>
        <w:widowControl w:val="0"/>
        <w:kinsoku/>
        <w:wordWrap/>
        <w:overflowPunct/>
        <w:topLinePunct w:val="0"/>
        <w:autoSpaceDE w:val="0"/>
        <w:autoSpaceDN w:val="0"/>
        <w:bidi w:val="0"/>
        <w:snapToGrid w:val="0"/>
        <w:spacing w:line="560" w:lineRule="exact"/>
        <w:rPr>
          <w:rFonts w:hint="eastAsia" w:ascii="宋体" w:hAnsi="宋体" w:eastAsia="宋体" w:cs="宋体"/>
          <w:b/>
          <w:bCs/>
          <w:color w:val="auto"/>
          <w:sz w:val="21"/>
          <w:szCs w:val="21"/>
          <w:lang w:eastAsia="zh-CN"/>
        </w:rPr>
      </w:pPr>
      <w:r>
        <w:rPr>
          <w:rFonts w:hint="eastAsia" w:ascii="宋体" w:hAnsi="宋体" w:eastAsia="宋体" w:cs="宋体"/>
          <w:b/>
          <w:bCs/>
          <w:color w:val="auto"/>
          <w:sz w:val="21"/>
          <w:szCs w:val="21"/>
        </w:rPr>
        <w:t>附件</w:t>
      </w:r>
      <w:r>
        <w:rPr>
          <w:rFonts w:hint="eastAsia" w:ascii="宋体" w:hAnsi="宋体" w:eastAsia="宋体" w:cs="宋体"/>
          <w:b/>
          <w:bCs/>
          <w:color w:val="auto"/>
          <w:sz w:val="21"/>
          <w:szCs w:val="21"/>
          <w:lang w:val="en-US" w:eastAsia="zh-CN"/>
        </w:rPr>
        <w:t>4</w:t>
      </w:r>
    </w:p>
    <w:p w14:paraId="0BB1B72C">
      <w:pPr>
        <w:keepNext w:val="0"/>
        <w:keepLines w:val="0"/>
        <w:pageBreakBefore w:val="0"/>
        <w:widowControl w:val="0"/>
        <w:kinsoku/>
        <w:wordWrap/>
        <w:overflowPunct/>
        <w:topLinePunct w:val="0"/>
        <w:autoSpaceDE w:val="0"/>
        <w:autoSpaceDN w:val="0"/>
        <w:bidi w:val="0"/>
        <w:snapToGrid w:val="0"/>
        <w:spacing w:before="144" w:after="8"/>
        <w:ind w:left="1103" w:right="1304"/>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模拟矿井井下掘进巷道瓦斯检查操作演示评分标准</w:t>
      </w:r>
    </w:p>
    <w:tbl>
      <w:tblPr>
        <w:tblStyle w:val="11"/>
        <w:tblW w:w="93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959"/>
        <w:gridCol w:w="9"/>
        <w:gridCol w:w="2325"/>
        <w:gridCol w:w="700"/>
        <w:gridCol w:w="3114"/>
        <w:gridCol w:w="1619"/>
      </w:tblGrid>
      <w:tr w14:paraId="5E820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blHeader/>
          <w:jc w:val="center"/>
        </w:trPr>
        <w:tc>
          <w:tcPr>
            <w:tcW w:w="585" w:type="dxa"/>
            <w:noWrap/>
            <w:vAlign w:val="center"/>
          </w:tcPr>
          <w:p w14:paraId="06884601">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bCs/>
                <w:color w:val="auto"/>
                <w:spacing w:val="-4"/>
                <w:kern w:val="10"/>
                <w:sz w:val="21"/>
                <w:szCs w:val="21"/>
              </w:rPr>
            </w:pPr>
            <w:r>
              <w:rPr>
                <w:rFonts w:hint="eastAsia" w:ascii="宋体" w:hAnsi="宋体" w:eastAsia="宋体" w:cs="宋体"/>
                <w:b/>
                <w:color w:val="auto"/>
                <w:sz w:val="21"/>
                <w:szCs w:val="21"/>
              </w:rPr>
              <w:t>项目</w:t>
            </w:r>
          </w:p>
        </w:tc>
        <w:tc>
          <w:tcPr>
            <w:tcW w:w="959" w:type="dxa"/>
            <w:noWrap/>
            <w:vAlign w:val="center"/>
          </w:tcPr>
          <w:p w14:paraId="64EC89B6">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操作</w:t>
            </w:r>
          </w:p>
          <w:p w14:paraId="105C557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bCs/>
                <w:color w:val="auto"/>
                <w:spacing w:val="-4"/>
                <w:kern w:val="10"/>
                <w:sz w:val="21"/>
                <w:szCs w:val="21"/>
              </w:rPr>
            </w:pPr>
            <w:r>
              <w:rPr>
                <w:rFonts w:hint="eastAsia" w:ascii="宋体" w:hAnsi="宋体" w:eastAsia="宋体" w:cs="宋体"/>
                <w:b/>
                <w:color w:val="auto"/>
                <w:sz w:val="21"/>
                <w:szCs w:val="21"/>
              </w:rPr>
              <w:t>内容</w:t>
            </w:r>
          </w:p>
        </w:tc>
        <w:tc>
          <w:tcPr>
            <w:tcW w:w="2334" w:type="dxa"/>
            <w:gridSpan w:val="2"/>
            <w:noWrap/>
            <w:vAlign w:val="center"/>
          </w:tcPr>
          <w:p w14:paraId="7190A7E2">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bCs/>
                <w:color w:val="auto"/>
                <w:spacing w:val="-4"/>
                <w:kern w:val="10"/>
                <w:sz w:val="21"/>
                <w:szCs w:val="21"/>
              </w:rPr>
            </w:pPr>
            <w:r>
              <w:rPr>
                <w:rFonts w:hint="eastAsia" w:ascii="宋体" w:hAnsi="宋体" w:eastAsia="宋体" w:cs="宋体"/>
                <w:b/>
                <w:color w:val="auto"/>
                <w:sz w:val="21"/>
                <w:szCs w:val="21"/>
              </w:rPr>
              <w:t>操作标准</w:t>
            </w:r>
          </w:p>
        </w:tc>
        <w:tc>
          <w:tcPr>
            <w:tcW w:w="700" w:type="dxa"/>
            <w:noWrap/>
            <w:vAlign w:val="center"/>
          </w:tcPr>
          <w:p w14:paraId="38D9AC5C">
            <w:pPr>
              <w:keepNext w:val="0"/>
              <w:keepLines w:val="0"/>
              <w:pageBreakBefore w:val="0"/>
              <w:widowControl w:val="0"/>
              <w:kinsoku/>
              <w:wordWrap/>
              <w:overflowPunct/>
              <w:topLinePunct w:val="0"/>
              <w:autoSpaceDE w:val="0"/>
              <w:autoSpaceDN w:val="0"/>
              <w:bidi w:val="0"/>
              <w:rPr>
                <w:rFonts w:hint="eastAsia" w:ascii="宋体" w:hAnsi="宋体" w:eastAsia="宋体" w:cs="宋体"/>
                <w:b/>
                <w:bCs/>
                <w:color w:val="auto"/>
                <w:spacing w:val="-4"/>
                <w:kern w:val="10"/>
                <w:sz w:val="21"/>
                <w:szCs w:val="21"/>
              </w:rPr>
            </w:pPr>
            <w:r>
              <w:rPr>
                <w:rFonts w:hint="eastAsia" w:ascii="宋体" w:hAnsi="宋体" w:eastAsia="宋体" w:cs="宋体"/>
                <w:b/>
                <w:color w:val="auto"/>
                <w:sz w:val="21"/>
                <w:szCs w:val="21"/>
              </w:rPr>
              <w:t>标准分</w:t>
            </w:r>
          </w:p>
        </w:tc>
        <w:tc>
          <w:tcPr>
            <w:tcW w:w="3114" w:type="dxa"/>
            <w:noWrap/>
            <w:vAlign w:val="center"/>
          </w:tcPr>
          <w:p w14:paraId="5EF5016D">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bCs/>
                <w:color w:val="auto"/>
                <w:spacing w:val="-4"/>
                <w:kern w:val="10"/>
                <w:sz w:val="21"/>
                <w:szCs w:val="21"/>
              </w:rPr>
            </w:pPr>
            <w:r>
              <w:rPr>
                <w:rFonts w:hint="eastAsia" w:ascii="宋体" w:hAnsi="宋体" w:eastAsia="宋体" w:cs="宋体"/>
                <w:b/>
                <w:color w:val="auto"/>
                <w:sz w:val="21"/>
                <w:szCs w:val="21"/>
              </w:rPr>
              <w:t>评分标准</w:t>
            </w:r>
          </w:p>
        </w:tc>
        <w:tc>
          <w:tcPr>
            <w:tcW w:w="1619" w:type="dxa"/>
            <w:noWrap/>
            <w:vAlign w:val="center"/>
          </w:tcPr>
          <w:p w14:paraId="6272E6E2">
            <w:pPr>
              <w:keepNext w:val="0"/>
              <w:keepLines w:val="0"/>
              <w:pageBreakBefore w:val="0"/>
              <w:widowControl w:val="0"/>
              <w:kinsoku/>
              <w:wordWrap/>
              <w:overflowPunct/>
              <w:topLinePunct w:val="0"/>
              <w:autoSpaceDE w:val="0"/>
              <w:autoSpaceDN w:val="0"/>
              <w:bidi w:val="0"/>
              <w:jc w:val="center"/>
              <w:rPr>
                <w:rFonts w:hint="eastAsia" w:ascii="宋体" w:hAnsi="宋体" w:eastAsia="宋体" w:cs="宋体"/>
                <w:b/>
                <w:bCs/>
                <w:color w:val="auto"/>
                <w:spacing w:val="-4"/>
                <w:kern w:val="10"/>
                <w:sz w:val="21"/>
                <w:szCs w:val="21"/>
              </w:rPr>
            </w:pPr>
            <w:r>
              <w:rPr>
                <w:rFonts w:hint="eastAsia" w:ascii="宋体" w:hAnsi="宋体" w:eastAsia="宋体" w:cs="宋体"/>
                <w:b/>
                <w:color w:val="auto"/>
                <w:sz w:val="21"/>
                <w:szCs w:val="21"/>
              </w:rPr>
              <w:t>实得分</w:t>
            </w:r>
          </w:p>
        </w:tc>
      </w:tr>
      <w:tr w14:paraId="34B4C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blHeader/>
          <w:jc w:val="center"/>
        </w:trPr>
        <w:tc>
          <w:tcPr>
            <w:tcW w:w="585" w:type="dxa"/>
            <w:vMerge w:val="restart"/>
            <w:noWrap/>
            <w:vAlign w:val="center"/>
          </w:tcPr>
          <w:p w14:paraId="1BB4BB66">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测定瓦斯前准备工作</w:t>
            </w:r>
          </w:p>
        </w:tc>
        <w:tc>
          <w:tcPr>
            <w:tcW w:w="959" w:type="dxa"/>
            <w:vMerge w:val="restart"/>
            <w:noWrap/>
            <w:vAlign w:val="center"/>
          </w:tcPr>
          <w:p w14:paraId="1988F024">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1.仪器完好性检查</w:t>
            </w:r>
          </w:p>
        </w:tc>
        <w:tc>
          <w:tcPr>
            <w:tcW w:w="2334" w:type="dxa"/>
            <w:gridSpan w:val="2"/>
            <w:noWrap/>
            <w:vAlign w:val="center"/>
          </w:tcPr>
          <w:p w14:paraId="32D90DC0">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（1）目镜组件检查；</w:t>
            </w:r>
          </w:p>
        </w:tc>
        <w:tc>
          <w:tcPr>
            <w:tcW w:w="700" w:type="dxa"/>
            <w:noWrap/>
            <w:vAlign w:val="center"/>
          </w:tcPr>
          <w:p w14:paraId="7B4A5A60">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114" w:type="dxa"/>
            <w:noWrap/>
            <w:vAlign w:val="center"/>
          </w:tcPr>
          <w:p w14:paraId="09D00D8F">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未手指口述和对应操作扣0.5分；手指口述和对应操作不正确扣0.2分；未采用普通话扣0.2分；语句口词不清楚扣0.2分；扣完为止。</w:t>
            </w:r>
          </w:p>
        </w:tc>
        <w:tc>
          <w:tcPr>
            <w:tcW w:w="1619" w:type="dxa"/>
            <w:noWrap/>
            <w:vAlign w:val="center"/>
          </w:tcPr>
          <w:p w14:paraId="7B871B71">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1CD1A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blHeader/>
          <w:jc w:val="center"/>
        </w:trPr>
        <w:tc>
          <w:tcPr>
            <w:tcW w:w="585" w:type="dxa"/>
            <w:vMerge w:val="continue"/>
            <w:noWrap/>
            <w:vAlign w:val="center"/>
          </w:tcPr>
          <w:p w14:paraId="01A336AF">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continue"/>
            <w:noWrap/>
            <w:vAlign w:val="center"/>
          </w:tcPr>
          <w:p w14:paraId="4C228D48">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2334" w:type="dxa"/>
            <w:gridSpan w:val="2"/>
            <w:noWrap/>
            <w:vAlign w:val="center"/>
          </w:tcPr>
          <w:p w14:paraId="32130D10">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（2）开关检查；</w:t>
            </w:r>
          </w:p>
        </w:tc>
        <w:tc>
          <w:tcPr>
            <w:tcW w:w="700" w:type="dxa"/>
            <w:noWrap/>
            <w:vAlign w:val="center"/>
          </w:tcPr>
          <w:p w14:paraId="629BD032">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114" w:type="dxa"/>
            <w:noWrap/>
            <w:vAlign w:val="center"/>
          </w:tcPr>
          <w:p w14:paraId="4CE232C5">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未手指口述和对应操作扣0.5分；手指口述和对应操作不正确扣0.2分；未采用普通话扣0.2分；语句口词不清楚扣0.2分；扣完为止。</w:t>
            </w:r>
          </w:p>
        </w:tc>
        <w:tc>
          <w:tcPr>
            <w:tcW w:w="1619" w:type="dxa"/>
            <w:noWrap/>
            <w:vAlign w:val="center"/>
          </w:tcPr>
          <w:p w14:paraId="1E3EF612">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69CB6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blHeader/>
          <w:jc w:val="center"/>
        </w:trPr>
        <w:tc>
          <w:tcPr>
            <w:tcW w:w="585" w:type="dxa"/>
            <w:vMerge w:val="continue"/>
            <w:noWrap/>
            <w:vAlign w:val="center"/>
          </w:tcPr>
          <w:p w14:paraId="73406592">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continue"/>
            <w:noWrap/>
            <w:vAlign w:val="center"/>
          </w:tcPr>
          <w:p w14:paraId="20896D83">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2334" w:type="dxa"/>
            <w:gridSpan w:val="2"/>
            <w:noWrap/>
            <w:vAlign w:val="center"/>
          </w:tcPr>
          <w:p w14:paraId="10033715">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（3）主调螺旋检查；</w:t>
            </w:r>
          </w:p>
        </w:tc>
        <w:tc>
          <w:tcPr>
            <w:tcW w:w="700" w:type="dxa"/>
            <w:noWrap/>
            <w:vAlign w:val="center"/>
          </w:tcPr>
          <w:p w14:paraId="5C7B9B3B">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114" w:type="dxa"/>
            <w:noWrap/>
            <w:vAlign w:val="center"/>
          </w:tcPr>
          <w:p w14:paraId="7F7DFBEC">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未手指口述和对应操作扣0.5分；手指口述和对应操作不正确扣0.2分；未采用普通话扣0.2分；语句口词不清楚扣0.2分；扣完为止。</w:t>
            </w:r>
          </w:p>
        </w:tc>
        <w:tc>
          <w:tcPr>
            <w:tcW w:w="1619" w:type="dxa"/>
            <w:noWrap/>
            <w:vAlign w:val="center"/>
          </w:tcPr>
          <w:p w14:paraId="096B0DE2">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77602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blHeader/>
          <w:jc w:val="center"/>
        </w:trPr>
        <w:tc>
          <w:tcPr>
            <w:tcW w:w="585" w:type="dxa"/>
            <w:vMerge w:val="continue"/>
            <w:noWrap/>
            <w:vAlign w:val="center"/>
          </w:tcPr>
          <w:p w14:paraId="24B48EDC">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continue"/>
            <w:noWrap/>
            <w:vAlign w:val="center"/>
          </w:tcPr>
          <w:p w14:paraId="4F01515A">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2334" w:type="dxa"/>
            <w:gridSpan w:val="2"/>
            <w:noWrap/>
            <w:vAlign w:val="center"/>
          </w:tcPr>
          <w:p w14:paraId="45E05DF2">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（4）皮套检查；</w:t>
            </w:r>
          </w:p>
        </w:tc>
        <w:tc>
          <w:tcPr>
            <w:tcW w:w="700" w:type="dxa"/>
            <w:noWrap/>
            <w:vAlign w:val="center"/>
          </w:tcPr>
          <w:p w14:paraId="5B73E5E3">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114" w:type="dxa"/>
            <w:noWrap/>
            <w:vAlign w:val="center"/>
          </w:tcPr>
          <w:p w14:paraId="6B0DF383">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未手指口述和对应操作扣0.5分；手指口述和对应操作不正确扣0.2分；未采用普通话扣0.2分；语句口词不清楚扣0.2分；扣完为止。</w:t>
            </w:r>
          </w:p>
        </w:tc>
        <w:tc>
          <w:tcPr>
            <w:tcW w:w="1619" w:type="dxa"/>
            <w:noWrap/>
            <w:vAlign w:val="center"/>
          </w:tcPr>
          <w:p w14:paraId="23EC0930">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2F106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blHeader/>
          <w:jc w:val="center"/>
        </w:trPr>
        <w:tc>
          <w:tcPr>
            <w:tcW w:w="585" w:type="dxa"/>
            <w:vMerge w:val="continue"/>
            <w:noWrap/>
            <w:vAlign w:val="center"/>
          </w:tcPr>
          <w:p w14:paraId="5D5096B9">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continue"/>
            <w:noWrap/>
            <w:vAlign w:val="center"/>
          </w:tcPr>
          <w:p w14:paraId="712CFCE4">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2334" w:type="dxa"/>
            <w:gridSpan w:val="2"/>
            <w:noWrap/>
            <w:vAlign w:val="center"/>
          </w:tcPr>
          <w:p w14:paraId="22C9F812">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（5）微调螺旋检查。</w:t>
            </w:r>
          </w:p>
        </w:tc>
        <w:tc>
          <w:tcPr>
            <w:tcW w:w="700" w:type="dxa"/>
            <w:noWrap/>
            <w:vAlign w:val="center"/>
          </w:tcPr>
          <w:p w14:paraId="5DD2CC19">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114" w:type="dxa"/>
            <w:noWrap/>
            <w:vAlign w:val="center"/>
          </w:tcPr>
          <w:p w14:paraId="58F0CD1F">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未手指口述和对应操作扣0.5分；手指口述和对应操作不正确扣0.2分；未采用普通话扣0.2分；语句口词不清楚扣0.2分；扣完为止。</w:t>
            </w:r>
          </w:p>
        </w:tc>
        <w:tc>
          <w:tcPr>
            <w:tcW w:w="1619" w:type="dxa"/>
            <w:noWrap/>
            <w:vAlign w:val="center"/>
          </w:tcPr>
          <w:p w14:paraId="5C24C643">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2229F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blHeader/>
          <w:jc w:val="center"/>
        </w:trPr>
        <w:tc>
          <w:tcPr>
            <w:tcW w:w="585" w:type="dxa"/>
            <w:vMerge w:val="continue"/>
            <w:noWrap/>
            <w:vAlign w:val="center"/>
          </w:tcPr>
          <w:p w14:paraId="7441F829">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restart"/>
            <w:noWrap/>
            <w:vAlign w:val="center"/>
          </w:tcPr>
          <w:p w14:paraId="00DEA5C7">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2.药品检查</w:t>
            </w:r>
          </w:p>
        </w:tc>
        <w:tc>
          <w:tcPr>
            <w:tcW w:w="2334" w:type="dxa"/>
            <w:gridSpan w:val="2"/>
            <w:noWrap/>
            <w:vAlign w:val="center"/>
          </w:tcPr>
          <w:p w14:paraId="1BC6ED1B">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（1）水分吸收管检查；</w:t>
            </w:r>
          </w:p>
        </w:tc>
        <w:tc>
          <w:tcPr>
            <w:tcW w:w="700" w:type="dxa"/>
            <w:noWrap/>
            <w:vAlign w:val="center"/>
          </w:tcPr>
          <w:p w14:paraId="3447DDBA">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114" w:type="dxa"/>
            <w:noWrap/>
            <w:vAlign w:val="center"/>
          </w:tcPr>
          <w:p w14:paraId="7435919D">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未手指口述和对应操作扣0.5分；手指口述和对应操作不正确扣0.2分；未采用普通话扣0.2分；语句口词不清楚扣0.2分；扣完为止。</w:t>
            </w:r>
          </w:p>
        </w:tc>
        <w:tc>
          <w:tcPr>
            <w:tcW w:w="1619" w:type="dxa"/>
            <w:noWrap/>
            <w:vAlign w:val="center"/>
          </w:tcPr>
          <w:p w14:paraId="6A8C9542">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047F3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blHeader/>
          <w:jc w:val="center"/>
        </w:trPr>
        <w:tc>
          <w:tcPr>
            <w:tcW w:w="585" w:type="dxa"/>
            <w:vMerge w:val="continue"/>
            <w:noWrap/>
            <w:vAlign w:val="center"/>
          </w:tcPr>
          <w:p w14:paraId="4E7045A3">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continue"/>
            <w:noWrap/>
            <w:vAlign w:val="center"/>
          </w:tcPr>
          <w:p w14:paraId="04F04A4F">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2334" w:type="dxa"/>
            <w:gridSpan w:val="2"/>
            <w:noWrap/>
            <w:vAlign w:val="center"/>
          </w:tcPr>
          <w:p w14:paraId="63C5FD33">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（2）二氧化碳吸收管检查。</w:t>
            </w:r>
          </w:p>
        </w:tc>
        <w:tc>
          <w:tcPr>
            <w:tcW w:w="700" w:type="dxa"/>
            <w:noWrap/>
            <w:vAlign w:val="center"/>
          </w:tcPr>
          <w:p w14:paraId="21A64FBD">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114" w:type="dxa"/>
            <w:noWrap/>
            <w:vAlign w:val="center"/>
          </w:tcPr>
          <w:p w14:paraId="42C5C61A">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未手指口述和对应操作扣0.5分；手指口述和对应操作不正确扣0.2分；未采用普通话扣0.2分；语句口词不清楚扣0.2分；扣完为止。</w:t>
            </w:r>
          </w:p>
        </w:tc>
        <w:tc>
          <w:tcPr>
            <w:tcW w:w="1619" w:type="dxa"/>
            <w:noWrap/>
            <w:vAlign w:val="center"/>
          </w:tcPr>
          <w:p w14:paraId="7291C4AD">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5E453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blHeader/>
          <w:jc w:val="center"/>
        </w:trPr>
        <w:tc>
          <w:tcPr>
            <w:tcW w:w="585" w:type="dxa"/>
            <w:vMerge w:val="continue"/>
            <w:noWrap/>
            <w:vAlign w:val="center"/>
          </w:tcPr>
          <w:p w14:paraId="5C30E67E">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restart"/>
            <w:noWrap/>
            <w:vAlign w:val="center"/>
          </w:tcPr>
          <w:p w14:paraId="453F2016">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3.检查气路系统</w:t>
            </w:r>
          </w:p>
        </w:tc>
        <w:tc>
          <w:tcPr>
            <w:tcW w:w="2334" w:type="dxa"/>
            <w:gridSpan w:val="2"/>
            <w:noWrap/>
            <w:vAlign w:val="center"/>
          </w:tcPr>
          <w:p w14:paraId="312E15F9">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（1）检查胶管、吸气球；</w:t>
            </w:r>
          </w:p>
        </w:tc>
        <w:tc>
          <w:tcPr>
            <w:tcW w:w="700" w:type="dxa"/>
            <w:noWrap/>
            <w:vAlign w:val="center"/>
          </w:tcPr>
          <w:p w14:paraId="7759E33D">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114" w:type="dxa"/>
            <w:noWrap/>
            <w:vAlign w:val="center"/>
          </w:tcPr>
          <w:p w14:paraId="4543F6D2">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未手指口述和对应操作扣0.5分；手指口述和对应操作不正确扣0.2分；未采用普通话扣0.2分；语句口词不清楚扣0.2分；扣完为止。</w:t>
            </w:r>
          </w:p>
        </w:tc>
        <w:tc>
          <w:tcPr>
            <w:tcW w:w="1619" w:type="dxa"/>
            <w:noWrap/>
            <w:vAlign w:val="center"/>
          </w:tcPr>
          <w:p w14:paraId="3A951D61">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19911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blHeader/>
          <w:jc w:val="center"/>
        </w:trPr>
        <w:tc>
          <w:tcPr>
            <w:tcW w:w="585" w:type="dxa"/>
            <w:vMerge w:val="continue"/>
            <w:noWrap/>
            <w:vAlign w:val="center"/>
          </w:tcPr>
          <w:p w14:paraId="48D1DD44">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continue"/>
            <w:noWrap/>
            <w:vAlign w:val="center"/>
          </w:tcPr>
          <w:p w14:paraId="13C20E5E">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2334" w:type="dxa"/>
            <w:gridSpan w:val="2"/>
            <w:noWrap/>
            <w:vAlign w:val="center"/>
          </w:tcPr>
          <w:p w14:paraId="32EA96F5">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（2）检查仪器密封性；</w:t>
            </w:r>
          </w:p>
        </w:tc>
        <w:tc>
          <w:tcPr>
            <w:tcW w:w="700" w:type="dxa"/>
            <w:noWrap/>
            <w:vAlign w:val="center"/>
          </w:tcPr>
          <w:p w14:paraId="7C550423">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114" w:type="dxa"/>
            <w:noWrap/>
            <w:vAlign w:val="center"/>
          </w:tcPr>
          <w:p w14:paraId="65F78C6B">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未手指口述和对应操作扣0.5分；手指口述和对应操作不正确扣0.2分；未采用普通话扣0.2分；语句口词不清楚扣0.2分；扣完为止。</w:t>
            </w:r>
          </w:p>
        </w:tc>
        <w:tc>
          <w:tcPr>
            <w:tcW w:w="1619" w:type="dxa"/>
            <w:noWrap/>
            <w:vAlign w:val="center"/>
          </w:tcPr>
          <w:p w14:paraId="35C9C6A9">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31F94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blHeader/>
          <w:jc w:val="center"/>
        </w:trPr>
        <w:tc>
          <w:tcPr>
            <w:tcW w:w="585" w:type="dxa"/>
            <w:vMerge w:val="continue"/>
            <w:noWrap/>
            <w:vAlign w:val="center"/>
          </w:tcPr>
          <w:p w14:paraId="574F1431">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continue"/>
            <w:noWrap/>
            <w:vAlign w:val="center"/>
          </w:tcPr>
          <w:p w14:paraId="7E665857">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2334" w:type="dxa"/>
            <w:gridSpan w:val="2"/>
            <w:noWrap/>
            <w:vAlign w:val="center"/>
          </w:tcPr>
          <w:p w14:paraId="4F20976B">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（3）检查气路是否畅通。</w:t>
            </w:r>
          </w:p>
        </w:tc>
        <w:tc>
          <w:tcPr>
            <w:tcW w:w="700" w:type="dxa"/>
            <w:noWrap/>
            <w:vAlign w:val="center"/>
          </w:tcPr>
          <w:p w14:paraId="51EBF15A">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114" w:type="dxa"/>
            <w:noWrap/>
            <w:vAlign w:val="center"/>
          </w:tcPr>
          <w:p w14:paraId="1F4B6156">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未手指口述和对应操作扣0.5分；手指口述和对应操作不正确扣0.2分；未采用普通话扣0.2分；语句口词不清楚扣0.2分；扣完为止。</w:t>
            </w:r>
          </w:p>
        </w:tc>
        <w:tc>
          <w:tcPr>
            <w:tcW w:w="1619" w:type="dxa"/>
            <w:noWrap/>
            <w:vAlign w:val="center"/>
          </w:tcPr>
          <w:p w14:paraId="4A4BF2FF">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6258A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blHeader/>
          <w:jc w:val="center"/>
        </w:trPr>
        <w:tc>
          <w:tcPr>
            <w:tcW w:w="585" w:type="dxa"/>
            <w:vMerge w:val="continue"/>
            <w:noWrap/>
            <w:vAlign w:val="center"/>
          </w:tcPr>
          <w:p w14:paraId="3BD9AA5F">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restart"/>
            <w:noWrap/>
            <w:vAlign w:val="center"/>
          </w:tcPr>
          <w:p w14:paraId="620AC519">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4.检查电路系统和光路系统</w:t>
            </w:r>
          </w:p>
        </w:tc>
        <w:tc>
          <w:tcPr>
            <w:tcW w:w="2334" w:type="dxa"/>
            <w:gridSpan w:val="2"/>
            <w:noWrap/>
            <w:vAlign w:val="center"/>
          </w:tcPr>
          <w:p w14:paraId="37A99289">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（1）光干涉条纹检查；</w:t>
            </w:r>
          </w:p>
        </w:tc>
        <w:tc>
          <w:tcPr>
            <w:tcW w:w="700" w:type="dxa"/>
            <w:noWrap/>
            <w:vAlign w:val="center"/>
          </w:tcPr>
          <w:p w14:paraId="44EDF50F">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114" w:type="dxa"/>
            <w:noWrap/>
            <w:vAlign w:val="center"/>
          </w:tcPr>
          <w:p w14:paraId="14DF42B8">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未手指口述和对应操作扣0.5分；手指口述和对应操作不正确扣0.2分；未采用普通话扣0.2分；语句口词不清楚扣0.2分；扣完为止。</w:t>
            </w:r>
          </w:p>
        </w:tc>
        <w:tc>
          <w:tcPr>
            <w:tcW w:w="1619" w:type="dxa"/>
            <w:noWrap/>
            <w:vAlign w:val="center"/>
          </w:tcPr>
          <w:p w14:paraId="5DB62069">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68280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blHeader/>
          <w:jc w:val="center"/>
        </w:trPr>
        <w:tc>
          <w:tcPr>
            <w:tcW w:w="585" w:type="dxa"/>
            <w:vMerge w:val="continue"/>
            <w:noWrap/>
            <w:vAlign w:val="center"/>
          </w:tcPr>
          <w:p w14:paraId="4A30CA38">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continue"/>
            <w:noWrap/>
            <w:vAlign w:val="center"/>
          </w:tcPr>
          <w:p w14:paraId="37C42AA3">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2334" w:type="dxa"/>
            <w:gridSpan w:val="2"/>
            <w:noWrap/>
            <w:vAlign w:val="center"/>
          </w:tcPr>
          <w:p w14:paraId="64C1CD05">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（2）微读数检查。</w:t>
            </w:r>
          </w:p>
        </w:tc>
        <w:tc>
          <w:tcPr>
            <w:tcW w:w="700" w:type="dxa"/>
            <w:noWrap/>
            <w:vAlign w:val="center"/>
          </w:tcPr>
          <w:p w14:paraId="004BDBFA">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114" w:type="dxa"/>
            <w:noWrap/>
            <w:vAlign w:val="center"/>
          </w:tcPr>
          <w:p w14:paraId="23120B3B">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未手指口述和对应操作扣0.5分；手指口述和对应操作不正确扣0.2分；未采用普通话扣0.2分；语句口词不清楚扣0.2分；扣完为止。</w:t>
            </w:r>
          </w:p>
        </w:tc>
        <w:tc>
          <w:tcPr>
            <w:tcW w:w="1619" w:type="dxa"/>
            <w:noWrap/>
            <w:vAlign w:val="center"/>
          </w:tcPr>
          <w:p w14:paraId="6B71C861">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13AE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blHeader/>
          <w:jc w:val="center"/>
        </w:trPr>
        <w:tc>
          <w:tcPr>
            <w:tcW w:w="585" w:type="dxa"/>
            <w:vMerge w:val="continue"/>
            <w:noWrap/>
            <w:vAlign w:val="center"/>
          </w:tcPr>
          <w:p w14:paraId="12D756B6">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restart"/>
            <w:noWrap/>
            <w:vAlign w:val="center"/>
          </w:tcPr>
          <w:p w14:paraId="62FD7FF8">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5.检查仪器精密度</w:t>
            </w:r>
          </w:p>
        </w:tc>
        <w:tc>
          <w:tcPr>
            <w:tcW w:w="2334" w:type="dxa"/>
            <w:gridSpan w:val="2"/>
            <w:noWrap/>
            <w:vAlign w:val="center"/>
          </w:tcPr>
          <w:p w14:paraId="5245DB2D">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（1）主读数精度检查；</w:t>
            </w:r>
          </w:p>
        </w:tc>
        <w:tc>
          <w:tcPr>
            <w:tcW w:w="700" w:type="dxa"/>
            <w:noWrap/>
            <w:vAlign w:val="center"/>
          </w:tcPr>
          <w:p w14:paraId="143FC4C8">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114" w:type="dxa"/>
            <w:noWrap/>
            <w:vAlign w:val="center"/>
          </w:tcPr>
          <w:p w14:paraId="492BA8D8">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未手指口述和对应操作扣0.5分；手指口述和对应操作不正确扣0.2分；未采用普通话扣0.2分；语句口词不清楚扣0.2分；扣完为止。</w:t>
            </w:r>
          </w:p>
        </w:tc>
        <w:tc>
          <w:tcPr>
            <w:tcW w:w="1619" w:type="dxa"/>
            <w:noWrap/>
            <w:vAlign w:val="center"/>
          </w:tcPr>
          <w:p w14:paraId="2BABB6C4">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35322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blHeader/>
          <w:jc w:val="center"/>
        </w:trPr>
        <w:tc>
          <w:tcPr>
            <w:tcW w:w="585" w:type="dxa"/>
            <w:vMerge w:val="continue"/>
            <w:noWrap/>
            <w:vAlign w:val="center"/>
          </w:tcPr>
          <w:p w14:paraId="00A79369">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continue"/>
            <w:noWrap/>
            <w:vAlign w:val="center"/>
          </w:tcPr>
          <w:p w14:paraId="1C9061D5">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2334" w:type="dxa"/>
            <w:gridSpan w:val="2"/>
            <w:noWrap/>
            <w:vAlign w:val="center"/>
          </w:tcPr>
          <w:p w14:paraId="4B70F2B6">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（2）微读数精度检查。</w:t>
            </w:r>
          </w:p>
        </w:tc>
        <w:tc>
          <w:tcPr>
            <w:tcW w:w="700" w:type="dxa"/>
            <w:noWrap/>
            <w:vAlign w:val="center"/>
          </w:tcPr>
          <w:p w14:paraId="78C0CFE1">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114" w:type="dxa"/>
            <w:noWrap/>
            <w:vAlign w:val="center"/>
          </w:tcPr>
          <w:p w14:paraId="4C048288">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未手指口述和对应操作扣0.5分；手指口述和对应操作不正确扣0.2分；未采用普通话扣0.2分；语句口词不清楚扣0.2分；扣完为止。</w:t>
            </w:r>
          </w:p>
        </w:tc>
        <w:tc>
          <w:tcPr>
            <w:tcW w:w="1619" w:type="dxa"/>
            <w:noWrap/>
            <w:vAlign w:val="center"/>
          </w:tcPr>
          <w:p w14:paraId="7737D170">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300AA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 w:hRule="atLeast"/>
          <w:tblHeader/>
          <w:jc w:val="center"/>
        </w:trPr>
        <w:tc>
          <w:tcPr>
            <w:tcW w:w="585" w:type="dxa"/>
            <w:vMerge w:val="continue"/>
            <w:noWrap/>
            <w:vAlign w:val="center"/>
          </w:tcPr>
          <w:p w14:paraId="61FD511D">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noWrap/>
            <w:vAlign w:val="center"/>
          </w:tcPr>
          <w:p w14:paraId="6DFEA530">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6.仪器整理</w:t>
            </w:r>
          </w:p>
        </w:tc>
        <w:tc>
          <w:tcPr>
            <w:tcW w:w="2334" w:type="dxa"/>
            <w:gridSpan w:val="2"/>
            <w:noWrap/>
            <w:vAlign w:val="center"/>
          </w:tcPr>
          <w:p w14:paraId="2CE2D608">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（1）将检查完好的仪器放入工具包或背在肩上，然后根据井下工作要求，领取工具、用品。</w:t>
            </w:r>
          </w:p>
        </w:tc>
        <w:tc>
          <w:tcPr>
            <w:tcW w:w="700" w:type="dxa"/>
            <w:noWrap/>
            <w:vAlign w:val="center"/>
          </w:tcPr>
          <w:p w14:paraId="72D33BA3">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114" w:type="dxa"/>
            <w:noWrap/>
            <w:vAlign w:val="center"/>
          </w:tcPr>
          <w:p w14:paraId="0E54C501">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未手指口述和对应操作扣1分；手指口述和对应操作少领取1项器具扣0.5分；扣完为止。</w:t>
            </w:r>
          </w:p>
        </w:tc>
        <w:tc>
          <w:tcPr>
            <w:tcW w:w="1619" w:type="dxa"/>
            <w:noWrap/>
            <w:vAlign w:val="center"/>
          </w:tcPr>
          <w:p w14:paraId="773E5E0C">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0E990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tblHeader/>
          <w:jc w:val="center"/>
        </w:trPr>
        <w:tc>
          <w:tcPr>
            <w:tcW w:w="585" w:type="dxa"/>
            <w:vMerge w:val="restart"/>
            <w:noWrap/>
            <w:vAlign w:val="center"/>
          </w:tcPr>
          <w:p w14:paraId="61531FF4">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掘进巷道瓦斯检查</w:t>
            </w:r>
          </w:p>
        </w:tc>
        <w:tc>
          <w:tcPr>
            <w:tcW w:w="959" w:type="dxa"/>
            <w:vMerge w:val="restart"/>
            <w:noWrap/>
            <w:vAlign w:val="center"/>
          </w:tcPr>
          <w:p w14:paraId="7CF766AE">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1.局部通风机处瓦斯检查</w:t>
            </w:r>
          </w:p>
        </w:tc>
        <w:tc>
          <w:tcPr>
            <w:tcW w:w="2334" w:type="dxa"/>
            <w:gridSpan w:val="2"/>
            <w:noWrap/>
            <w:vAlign w:val="center"/>
          </w:tcPr>
          <w:p w14:paraId="300EC843">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（1）在局部通风机吸风口进风巷道附近新鲜风流中重新对零；</w:t>
            </w:r>
          </w:p>
        </w:tc>
        <w:tc>
          <w:tcPr>
            <w:tcW w:w="700" w:type="dxa"/>
            <w:noWrap/>
            <w:vAlign w:val="center"/>
          </w:tcPr>
          <w:p w14:paraId="135EFB6D">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5</w:t>
            </w:r>
          </w:p>
        </w:tc>
        <w:tc>
          <w:tcPr>
            <w:tcW w:w="3114" w:type="dxa"/>
            <w:noWrap/>
            <w:vAlign w:val="center"/>
          </w:tcPr>
          <w:p w14:paraId="5A3D5CD2">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未重新对零或选择地点不正确扣2分，调整顺序及方法不符合要求一处扣0.5分；未盖好主调螺旋盖扣1分；扣完为止。</w:t>
            </w:r>
          </w:p>
        </w:tc>
        <w:tc>
          <w:tcPr>
            <w:tcW w:w="1619" w:type="dxa"/>
            <w:noWrap/>
            <w:vAlign w:val="center"/>
          </w:tcPr>
          <w:p w14:paraId="5A5239F5">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220DB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0" w:hRule="atLeast"/>
          <w:tblHeader/>
          <w:jc w:val="center"/>
        </w:trPr>
        <w:tc>
          <w:tcPr>
            <w:tcW w:w="585" w:type="dxa"/>
            <w:vMerge w:val="continue"/>
            <w:noWrap/>
            <w:vAlign w:val="center"/>
          </w:tcPr>
          <w:p w14:paraId="1742E58D">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continue"/>
            <w:noWrap/>
            <w:vAlign w:val="center"/>
          </w:tcPr>
          <w:p w14:paraId="03B94487">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2334" w:type="dxa"/>
            <w:gridSpan w:val="2"/>
            <w:noWrap/>
            <w:vAlign w:val="center"/>
          </w:tcPr>
          <w:p w14:paraId="2B47DB2B">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（2）检查局部通风机及其开关附近10m范围内风流中甲烷、二氧化碳浓度以及温度；</w:t>
            </w:r>
          </w:p>
        </w:tc>
        <w:tc>
          <w:tcPr>
            <w:tcW w:w="700" w:type="dxa"/>
            <w:noWrap/>
            <w:vAlign w:val="center"/>
          </w:tcPr>
          <w:p w14:paraId="3D917243">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7</w:t>
            </w:r>
          </w:p>
        </w:tc>
        <w:tc>
          <w:tcPr>
            <w:tcW w:w="3114" w:type="dxa"/>
            <w:noWrap/>
            <w:vAlign w:val="center"/>
          </w:tcPr>
          <w:p w14:paraId="3BFC98BC">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局部通风机及其开关检查位置选择不正确不得分，操作不正确一处扣1分，口述不全面1处扣0.5分；未采用普通话扣0.2分；语句口词不清楚扣0.2分；扣完为止。</w:t>
            </w:r>
          </w:p>
        </w:tc>
        <w:tc>
          <w:tcPr>
            <w:tcW w:w="1619" w:type="dxa"/>
            <w:noWrap/>
            <w:vAlign w:val="center"/>
          </w:tcPr>
          <w:p w14:paraId="6A339AF7">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18AC8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4" w:hRule="atLeast"/>
          <w:tblHeader/>
          <w:jc w:val="center"/>
        </w:trPr>
        <w:tc>
          <w:tcPr>
            <w:tcW w:w="585" w:type="dxa"/>
            <w:vMerge w:val="continue"/>
            <w:noWrap/>
            <w:vAlign w:val="center"/>
          </w:tcPr>
          <w:p w14:paraId="0442C8B1">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continue"/>
            <w:noWrap/>
            <w:vAlign w:val="center"/>
          </w:tcPr>
          <w:p w14:paraId="3054CA4E">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2334" w:type="dxa"/>
            <w:gridSpan w:val="2"/>
            <w:noWrap/>
            <w:vAlign w:val="center"/>
          </w:tcPr>
          <w:p w14:paraId="2F42C634">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（3）填写检查结果。</w:t>
            </w:r>
          </w:p>
        </w:tc>
        <w:tc>
          <w:tcPr>
            <w:tcW w:w="700" w:type="dxa"/>
            <w:noWrap/>
            <w:vAlign w:val="center"/>
          </w:tcPr>
          <w:p w14:paraId="65C6748A">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3114" w:type="dxa"/>
            <w:noWrap/>
            <w:vAlign w:val="center"/>
          </w:tcPr>
          <w:p w14:paraId="4532413B">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未及时记录到记录手册上不得分；</w:t>
            </w:r>
            <w:r>
              <w:rPr>
                <w:rFonts w:hint="eastAsia" w:ascii="宋体" w:hAnsi="宋体" w:eastAsia="宋体" w:cs="宋体"/>
                <w:color w:val="auto"/>
                <w:sz w:val="21"/>
                <w:szCs w:val="21"/>
                <w:lang w:val="en-US" w:eastAsia="zh-CN"/>
              </w:rPr>
              <w:t>未</w:t>
            </w:r>
            <w:r>
              <w:rPr>
                <w:rFonts w:hint="eastAsia" w:ascii="宋体" w:hAnsi="宋体" w:eastAsia="宋体" w:cs="宋体"/>
                <w:color w:val="auto"/>
                <w:sz w:val="21"/>
                <w:szCs w:val="21"/>
              </w:rPr>
              <w:t>填写到瓦斯记录牌板上扣0.5分；扣完为止。</w:t>
            </w:r>
          </w:p>
        </w:tc>
        <w:tc>
          <w:tcPr>
            <w:tcW w:w="1619" w:type="dxa"/>
            <w:noWrap/>
            <w:vAlign w:val="center"/>
          </w:tcPr>
          <w:p w14:paraId="43FBD3EA">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4E26A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5" w:hRule="atLeast"/>
          <w:tblHeader/>
          <w:jc w:val="center"/>
        </w:trPr>
        <w:tc>
          <w:tcPr>
            <w:tcW w:w="585" w:type="dxa"/>
            <w:vMerge w:val="continue"/>
            <w:noWrap/>
            <w:vAlign w:val="center"/>
          </w:tcPr>
          <w:p w14:paraId="364B8E4F">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restart"/>
            <w:noWrap/>
            <w:vAlign w:val="center"/>
          </w:tcPr>
          <w:p w14:paraId="6868E467">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2.掘进巷道回风流瓦斯检查</w:t>
            </w:r>
          </w:p>
        </w:tc>
        <w:tc>
          <w:tcPr>
            <w:tcW w:w="2334" w:type="dxa"/>
            <w:gridSpan w:val="2"/>
            <w:noWrap/>
            <w:vAlign w:val="center"/>
          </w:tcPr>
          <w:p w14:paraId="62C43310">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 xml:space="preserve">（1）检查掘进巷道回风口甲烷、二氧化碳浓度以及温度；     </w:t>
            </w:r>
          </w:p>
        </w:tc>
        <w:tc>
          <w:tcPr>
            <w:tcW w:w="700" w:type="dxa"/>
            <w:vMerge w:val="restart"/>
            <w:noWrap/>
            <w:vAlign w:val="center"/>
          </w:tcPr>
          <w:p w14:paraId="6EFC18FF">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（3项选1项）10</w:t>
            </w:r>
            <w:r>
              <w:rPr>
                <w:rFonts w:hint="eastAsia" w:ascii="宋体" w:hAnsi="宋体" w:eastAsia="宋体" w:cs="宋体"/>
                <w:color w:val="auto"/>
                <w:sz w:val="21"/>
                <w:szCs w:val="21"/>
                <w:lang w:val="en-US" w:eastAsia="zh-CN"/>
              </w:rPr>
              <w:t>分</w:t>
            </w:r>
          </w:p>
        </w:tc>
        <w:tc>
          <w:tcPr>
            <w:tcW w:w="3114" w:type="dxa"/>
            <w:noWrap/>
            <w:vAlign w:val="center"/>
          </w:tcPr>
          <w:p w14:paraId="77B7B133">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回风口位置选择错误扣不得分，检查操作不正确扣1分，操作不正确一处扣1分，口述不全面1处扣0.5分；未采用普通话扣0.2分；语句口词不清楚扣0.2分；扣完为止。</w:t>
            </w:r>
          </w:p>
        </w:tc>
        <w:tc>
          <w:tcPr>
            <w:tcW w:w="1619" w:type="dxa"/>
            <w:noWrap/>
            <w:vAlign w:val="center"/>
          </w:tcPr>
          <w:p w14:paraId="7F3A8C15">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4B40B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blHeader/>
          <w:jc w:val="center"/>
        </w:trPr>
        <w:tc>
          <w:tcPr>
            <w:tcW w:w="585" w:type="dxa"/>
            <w:vMerge w:val="continue"/>
            <w:noWrap/>
            <w:vAlign w:val="center"/>
          </w:tcPr>
          <w:p w14:paraId="3404A2D9">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continue"/>
            <w:noWrap/>
            <w:vAlign w:val="center"/>
          </w:tcPr>
          <w:p w14:paraId="6774E444">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2334" w:type="dxa"/>
            <w:gridSpan w:val="2"/>
            <w:noWrap/>
            <w:vAlign w:val="center"/>
          </w:tcPr>
          <w:p w14:paraId="2DB82D3A">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（2）填写检查结果。</w:t>
            </w:r>
          </w:p>
        </w:tc>
        <w:tc>
          <w:tcPr>
            <w:tcW w:w="700" w:type="dxa"/>
            <w:vMerge w:val="continue"/>
            <w:noWrap/>
            <w:vAlign w:val="center"/>
          </w:tcPr>
          <w:p w14:paraId="5E09128F">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p>
        </w:tc>
        <w:tc>
          <w:tcPr>
            <w:tcW w:w="3114" w:type="dxa"/>
            <w:noWrap/>
            <w:vAlign w:val="center"/>
          </w:tcPr>
          <w:p w14:paraId="409CB629">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未及时记录到记录手册上不得分；</w:t>
            </w:r>
            <w:r>
              <w:rPr>
                <w:rFonts w:hint="eastAsia" w:ascii="宋体" w:hAnsi="宋体" w:eastAsia="宋体" w:cs="宋体"/>
                <w:color w:val="auto"/>
                <w:sz w:val="21"/>
                <w:szCs w:val="21"/>
                <w:lang w:eastAsia="zh-CN"/>
              </w:rPr>
              <w:t>未填写</w:t>
            </w:r>
            <w:r>
              <w:rPr>
                <w:rFonts w:hint="eastAsia" w:ascii="宋体" w:hAnsi="宋体" w:eastAsia="宋体" w:cs="宋体"/>
                <w:color w:val="auto"/>
                <w:sz w:val="21"/>
                <w:szCs w:val="21"/>
              </w:rPr>
              <w:t>到瓦斯记录牌板上扣0.5分；扣完为止。</w:t>
            </w:r>
          </w:p>
        </w:tc>
        <w:tc>
          <w:tcPr>
            <w:tcW w:w="1619" w:type="dxa"/>
            <w:noWrap/>
            <w:vAlign w:val="center"/>
          </w:tcPr>
          <w:p w14:paraId="36CF6689">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2484B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blHeader/>
          <w:jc w:val="center"/>
        </w:trPr>
        <w:tc>
          <w:tcPr>
            <w:tcW w:w="585" w:type="dxa"/>
            <w:vMerge w:val="continue"/>
            <w:noWrap/>
            <w:vAlign w:val="center"/>
          </w:tcPr>
          <w:p w14:paraId="7EE71410">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restart"/>
            <w:shd w:val="clear" w:color="auto" w:fill="auto"/>
            <w:noWrap/>
            <w:vAlign w:val="center"/>
          </w:tcPr>
          <w:p w14:paraId="7794F10D">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.掘进巷道局部</w:t>
            </w:r>
            <w:r>
              <w:rPr>
                <w:rFonts w:hint="eastAsia" w:ascii="宋体" w:hAnsi="宋体" w:eastAsia="宋体" w:cs="宋体"/>
                <w:color w:val="auto"/>
                <w:sz w:val="21"/>
                <w:szCs w:val="21"/>
                <w:lang w:val="en-US" w:eastAsia="zh-CN"/>
              </w:rPr>
              <w:t>测</w:t>
            </w:r>
            <w:r>
              <w:rPr>
                <w:rFonts w:hint="eastAsia" w:ascii="宋体" w:hAnsi="宋体" w:eastAsia="宋体" w:cs="宋体"/>
                <w:color w:val="auto"/>
                <w:sz w:val="21"/>
                <w:szCs w:val="21"/>
              </w:rPr>
              <w:t>点瓦斯检查</w:t>
            </w:r>
          </w:p>
          <w:p w14:paraId="1C7B751F">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2334" w:type="dxa"/>
            <w:gridSpan w:val="2"/>
            <w:shd w:val="clear" w:color="auto" w:fill="auto"/>
            <w:noWrap/>
            <w:vAlign w:val="center"/>
          </w:tcPr>
          <w:p w14:paraId="5211CD88">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（1）掘进巷道局部地点甲烷、二氧化碳及温度检查。</w:t>
            </w:r>
          </w:p>
        </w:tc>
        <w:tc>
          <w:tcPr>
            <w:tcW w:w="700" w:type="dxa"/>
            <w:vMerge w:val="continue"/>
            <w:shd w:val="clear" w:color="auto" w:fill="auto"/>
            <w:noWrap/>
            <w:vAlign w:val="center"/>
          </w:tcPr>
          <w:p w14:paraId="16950540">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p>
        </w:tc>
        <w:tc>
          <w:tcPr>
            <w:tcW w:w="3114" w:type="dxa"/>
            <w:shd w:val="clear" w:color="auto" w:fill="auto"/>
            <w:noWrap/>
            <w:vAlign w:val="center"/>
          </w:tcPr>
          <w:p w14:paraId="43183F37">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掘进巷道局部地点检查选择错误不得分，操作不正确1处扣1分，口述不全面1处扣0.5分；未采用普通话扣0.2分；语句口词不清楚扣0.2分；扣完为止。</w:t>
            </w:r>
          </w:p>
        </w:tc>
        <w:tc>
          <w:tcPr>
            <w:tcW w:w="1619" w:type="dxa"/>
            <w:noWrap/>
            <w:vAlign w:val="center"/>
          </w:tcPr>
          <w:p w14:paraId="50B3DC48">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31E81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blHeader/>
          <w:jc w:val="center"/>
        </w:trPr>
        <w:tc>
          <w:tcPr>
            <w:tcW w:w="585" w:type="dxa"/>
            <w:vMerge w:val="continue"/>
            <w:noWrap/>
            <w:vAlign w:val="center"/>
          </w:tcPr>
          <w:p w14:paraId="0952406F">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continue"/>
            <w:noWrap/>
            <w:vAlign w:val="center"/>
          </w:tcPr>
          <w:p w14:paraId="014345C7">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2334" w:type="dxa"/>
            <w:gridSpan w:val="2"/>
            <w:shd w:val="clear" w:color="auto" w:fill="auto"/>
            <w:noWrap/>
            <w:vAlign w:val="center"/>
          </w:tcPr>
          <w:p w14:paraId="50A57C7A">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（2）填写检查结果。</w:t>
            </w:r>
          </w:p>
        </w:tc>
        <w:tc>
          <w:tcPr>
            <w:tcW w:w="700" w:type="dxa"/>
            <w:vMerge w:val="continue"/>
            <w:shd w:val="clear" w:color="auto" w:fill="auto"/>
            <w:noWrap/>
            <w:vAlign w:val="center"/>
          </w:tcPr>
          <w:p w14:paraId="48F8DC41">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kern w:val="2"/>
                <w:sz w:val="21"/>
                <w:szCs w:val="21"/>
                <w:lang w:val="en-US" w:eastAsia="zh-CN" w:bidi="ar-SA"/>
              </w:rPr>
            </w:pPr>
          </w:p>
        </w:tc>
        <w:tc>
          <w:tcPr>
            <w:tcW w:w="3114" w:type="dxa"/>
            <w:shd w:val="clear" w:color="auto" w:fill="auto"/>
            <w:noWrap/>
            <w:vAlign w:val="center"/>
          </w:tcPr>
          <w:p w14:paraId="12AC895B">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未及时记录到记录手册上不得分；</w:t>
            </w:r>
            <w:r>
              <w:rPr>
                <w:rFonts w:hint="eastAsia" w:ascii="宋体" w:hAnsi="宋体" w:eastAsia="宋体" w:cs="宋体"/>
                <w:color w:val="auto"/>
                <w:sz w:val="21"/>
                <w:szCs w:val="21"/>
                <w:lang w:eastAsia="zh-CN"/>
              </w:rPr>
              <w:t>未填写</w:t>
            </w:r>
            <w:r>
              <w:rPr>
                <w:rFonts w:hint="eastAsia" w:ascii="宋体" w:hAnsi="宋体" w:eastAsia="宋体" w:cs="宋体"/>
                <w:color w:val="auto"/>
                <w:sz w:val="21"/>
                <w:szCs w:val="21"/>
              </w:rPr>
              <w:t>到瓦斯记录牌板上扣0.5分；扣完为止。</w:t>
            </w:r>
          </w:p>
        </w:tc>
        <w:tc>
          <w:tcPr>
            <w:tcW w:w="1619" w:type="dxa"/>
            <w:noWrap/>
            <w:vAlign w:val="center"/>
          </w:tcPr>
          <w:p w14:paraId="7444B5D4">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7F000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blHeader/>
          <w:jc w:val="center"/>
        </w:trPr>
        <w:tc>
          <w:tcPr>
            <w:tcW w:w="585" w:type="dxa"/>
            <w:vMerge w:val="continue"/>
            <w:noWrap/>
            <w:vAlign w:val="center"/>
          </w:tcPr>
          <w:p w14:paraId="6EEEC1CC">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restart"/>
            <w:noWrap/>
            <w:vAlign w:val="center"/>
          </w:tcPr>
          <w:p w14:paraId="3F1E594A">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4.掘进巷道机电设备瓦斯检查</w:t>
            </w:r>
          </w:p>
        </w:tc>
        <w:tc>
          <w:tcPr>
            <w:tcW w:w="2334" w:type="dxa"/>
            <w:gridSpan w:val="2"/>
            <w:noWrap/>
            <w:vAlign w:val="center"/>
          </w:tcPr>
          <w:p w14:paraId="00765694">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（1）掘进巷道机电设备处甲烷、二氧化碳及温度检查。</w:t>
            </w:r>
          </w:p>
        </w:tc>
        <w:tc>
          <w:tcPr>
            <w:tcW w:w="700" w:type="dxa"/>
            <w:vMerge w:val="continue"/>
            <w:noWrap/>
            <w:vAlign w:val="center"/>
          </w:tcPr>
          <w:p w14:paraId="15F3237D">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p>
        </w:tc>
        <w:tc>
          <w:tcPr>
            <w:tcW w:w="3114" w:type="dxa"/>
            <w:noWrap/>
            <w:vAlign w:val="center"/>
          </w:tcPr>
          <w:p w14:paraId="3B440CF8">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掘进巷道机电设备测点选择错误不得分，检查操作不正确一处扣1分，口述不全面1处扣0.5分；未采用普通话扣0.2分；语句口词不清楚扣0.2分；扣完为止。</w:t>
            </w:r>
          </w:p>
        </w:tc>
        <w:tc>
          <w:tcPr>
            <w:tcW w:w="1619" w:type="dxa"/>
            <w:noWrap/>
            <w:vAlign w:val="center"/>
          </w:tcPr>
          <w:p w14:paraId="32D654F2">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541DE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blHeader/>
          <w:jc w:val="center"/>
        </w:trPr>
        <w:tc>
          <w:tcPr>
            <w:tcW w:w="585" w:type="dxa"/>
            <w:vMerge w:val="continue"/>
            <w:noWrap/>
            <w:vAlign w:val="center"/>
          </w:tcPr>
          <w:p w14:paraId="0CF65591">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continue"/>
            <w:noWrap/>
            <w:vAlign w:val="center"/>
          </w:tcPr>
          <w:p w14:paraId="3994B6EE">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2334" w:type="dxa"/>
            <w:gridSpan w:val="2"/>
            <w:noWrap/>
            <w:vAlign w:val="center"/>
          </w:tcPr>
          <w:p w14:paraId="1FC04AEB">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（2）填写检查结果。</w:t>
            </w:r>
          </w:p>
        </w:tc>
        <w:tc>
          <w:tcPr>
            <w:tcW w:w="700" w:type="dxa"/>
            <w:vMerge w:val="continue"/>
            <w:noWrap/>
            <w:vAlign w:val="center"/>
          </w:tcPr>
          <w:p w14:paraId="24F843C0">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p>
        </w:tc>
        <w:tc>
          <w:tcPr>
            <w:tcW w:w="3114" w:type="dxa"/>
            <w:noWrap/>
            <w:vAlign w:val="center"/>
          </w:tcPr>
          <w:p w14:paraId="40C87E32">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未及时记录到记录手册上不得分；</w:t>
            </w:r>
            <w:r>
              <w:rPr>
                <w:rFonts w:hint="eastAsia" w:ascii="宋体" w:hAnsi="宋体" w:eastAsia="宋体" w:cs="宋体"/>
                <w:color w:val="auto"/>
                <w:sz w:val="21"/>
                <w:szCs w:val="21"/>
                <w:lang w:eastAsia="zh-CN"/>
              </w:rPr>
              <w:t>未填写</w:t>
            </w:r>
            <w:r>
              <w:rPr>
                <w:rFonts w:hint="eastAsia" w:ascii="宋体" w:hAnsi="宋体" w:eastAsia="宋体" w:cs="宋体"/>
                <w:color w:val="auto"/>
                <w:sz w:val="21"/>
                <w:szCs w:val="21"/>
              </w:rPr>
              <w:t>到瓦斯记录牌板上扣0.5分；扣完为止。</w:t>
            </w:r>
          </w:p>
        </w:tc>
        <w:tc>
          <w:tcPr>
            <w:tcW w:w="1619" w:type="dxa"/>
            <w:noWrap/>
            <w:vAlign w:val="center"/>
          </w:tcPr>
          <w:p w14:paraId="51B62610">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1EB4A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blHeader/>
          <w:jc w:val="center"/>
        </w:trPr>
        <w:tc>
          <w:tcPr>
            <w:tcW w:w="585" w:type="dxa"/>
            <w:vMerge w:val="continue"/>
            <w:noWrap/>
            <w:vAlign w:val="center"/>
          </w:tcPr>
          <w:p w14:paraId="33DCD683">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restart"/>
            <w:shd w:val="clear" w:color="auto" w:fill="auto"/>
            <w:noWrap/>
            <w:vAlign w:val="center"/>
          </w:tcPr>
          <w:p w14:paraId="13A92CE1">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.掘进工作面瓦斯检查</w:t>
            </w:r>
          </w:p>
          <w:p w14:paraId="7935F3E4">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2334" w:type="dxa"/>
            <w:gridSpan w:val="2"/>
            <w:shd w:val="clear" w:color="auto" w:fill="auto"/>
            <w:noWrap/>
            <w:vAlign w:val="center"/>
          </w:tcPr>
          <w:p w14:paraId="7F1B65C9">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（1）掘进工作面甲烷、二氧化碳浓度及温度测定；</w:t>
            </w:r>
          </w:p>
        </w:tc>
        <w:tc>
          <w:tcPr>
            <w:tcW w:w="700" w:type="dxa"/>
            <w:shd w:val="clear" w:color="auto" w:fill="auto"/>
            <w:noWrap/>
            <w:vAlign w:val="center"/>
          </w:tcPr>
          <w:p w14:paraId="7A7048D0">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7</w:t>
            </w:r>
          </w:p>
        </w:tc>
        <w:tc>
          <w:tcPr>
            <w:tcW w:w="3114" w:type="dxa"/>
            <w:shd w:val="clear" w:color="auto" w:fill="auto"/>
            <w:noWrap/>
            <w:vAlign w:val="center"/>
          </w:tcPr>
          <w:p w14:paraId="58F8F760">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掘进工作面测点选择错误不得分，检查操作不正确一处扣1分，操作不正确扣1分，口述不全面1处扣0.5分；未采用普通话扣0.2分；语句口词不清楚扣0.2分；未与甲烷传感器进行对照扣1分；扣完为止。</w:t>
            </w:r>
          </w:p>
        </w:tc>
        <w:tc>
          <w:tcPr>
            <w:tcW w:w="1619" w:type="dxa"/>
            <w:noWrap/>
            <w:vAlign w:val="center"/>
          </w:tcPr>
          <w:p w14:paraId="7CE5E049">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6142F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blHeader/>
          <w:jc w:val="center"/>
        </w:trPr>
        <w:tc>
          <w:tcPr>
            <w:tcW w:w="585" w:type="dxa"/>
            <w:vMerge w:val="continue"/>
            <w:noWrap/>
            <w:vAlign w:val="center"/>
          </w:tcPr>
          <w:p w14:paraId="483A9ED4">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959" w:type="dxa"/>
            <w:vMerge w:val="continue"/>
            <w:noWrap/>
            <w:vAlign w:val="center"/>
          </w:tcPr>
          <w:p w14:paraId="27D56490">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2334" w:type="dxa"/>
            <w:gridSpan w:val="2"/>
            <w:shd w:val="clear" w:color="auto" w:fill="auto"/>
            <w:noWrap/>
            <w:vAlign w:val="center"/>
          </w:tcPr>
          <w:p w14:paraId="2633E5E1">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（2）填写检查结果。</w:t>
            </w:r>
          </w:p>
        </w:tc>
        <w:tc>
          <w:tcPr>
            <w:tcW w:w="700" w:type="dxa"/>
            <w:noWrap/>
            <w:vAlign w:val="center"/>
          </w:tcPr>
          <w:p w14:paraId="21C57329">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3114" w:type="dxa"/>
            <w:shd w:val="clear" w:color="auto" w:fill="auto"/>
            <w:noWrap/>
            <w:vAlign w:val="center"/>
          </w:tcPr>
          <w:p w14:paraId="6118B241">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未及时记录到记录手册上不得分；</w:t>
            </w:r>
            <w:r>
              <w:rPr>
                <w:rFonts w:hint="eastAsia" w:ascii="宋体" w:hAnsi="宋体" w:eastAsia="宋体" w:cs="宋体"/>
                <w:color w:val="auto"/>
                <w:sz w:val="21"/>
                <w:szCs w:val="21"/>
                <w:lang w:eastAsia="zh-CN"/>
              </w:rPr>
              <w:t>未填写</w:t>
            </w:r>
            <w:r>
              <w:rPr>
                <w:rFonts w:hint="eastAsia" w:ascii="宋体" w:hAnsi="宋体" w:eastAsia="宋体" w:cs="宋体"/>
                <w:color w:val="auto"/>
                <w:sz w:val="21"/>
                <w:szCs w:val="21"/>
              </w:rPr>
              <w:t>到瓦斯记录牌板上扣0.5分；扣完为止。</w:t>
            </w:r>
          </w:p>
        </w:tc>
        <w:tc>
          <w:tcPr>
            <w:tcW w:w="1619" w:type="dxa"/>
            <w:noWrap/>
            <w:vAlign w:val="center"/>
          </w:tcPr>
          <w:p w14:paraId="77101CDF">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03B2D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4" w:hRule="atLeast"/>
          <w:tblHeader/>
          <w:jc w:val="center"/>
        </w:trPr>
        <w:tc>
          <w:tcPr>
            <w:tcW w:w="585" w:type="dxa"/>
            <w:vMerge w:val="restart"/>
            <w:noWrap/>
            <w:vAlign w:val="center"/>
          </w:tcPr>
          <w:p w14:paraId="48FBF5DF">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一氧化碳浓度检查</w:t>
            </w:r>
          </w:p>
        </w:tc>
        <w:tc>
          <w:tcPr>
            <w:tcW w:w="968" w:type="dxa"/>
            <w:gridSpan w:val="2"/>
            <w:noWrap/>
            <w:vAlign w:val="center"/>
          </w:tcPr>
          <w:p w14:paraId="2DA9C880">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1.检测准备</w:t>
            </w:r>
          </w:p>
          <w:p w14:paraId="7D0E2497">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2325" w:type="dxa"/>
            <w:noWrap/>
            <w:vAlign w:val="center"/>
          </w:tcPr>
          <w:p w14:paraId="61C1771F">
            <w:pPr>
              <w:keepNext w:val="0"/>
              <w:keepLines w:val="0"/>
              <w:pageBreakBefore w:val="0"/>
              <w:widowControl w:val="0"/>
              <w:numPr>
                <w:ilvl w:val="0"/>
                <w:numId w:val="8"/>
              </w:numPr>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根据待查地点的气体浓度范围，选对CO 检测管，并确认CO 检测管是否在有效期内；</w:t>
            </w:r>
          </w:p>
          <w:p w14:paraId="6EA4D0D8">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（2）检查采样器附件是否齐全，进出气是否畅通，三通阀开、关灵活；</w:t>
            </w:r>
          </w:p>
          <w:p w14:paraId="58FFA694">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（3）将采样器三通阀把打到 45°关闭位置，把活塞拉到最大位置后松开，确认活塞能够自动恢复原状或者活塞的余量不大于 5ml 时，采样器气密性良好；</w:t>
            </w:r>
          </w:p>
        </w:tc>
        <w:tc>
          <w:tcPr>
            <w:tcW w:w="700" w:type="dxa"/>
            <w:noWrap/>
            <w:vAlign w:val="center"/>
          </w:tcPr>
          <w:p w14:paraId="36959BED">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5</w:t>
            </w:r>
          </w:p>
        </w:tc>
        <w:tc>
          <w:tcPr>
            <w:tcW w:w="3114" w:type="dxa"/>
            <w:noWrap/>
            <w:vAlign w:val="center"/>
          </w:tcPr>
          <w:p w14:paraId="7EA5643F">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未手指口述和对应操作扣0.5分；手指口述和对应操作不正确扣0.5分；未采用普通话扣0.2分；语句口词不清楚扣0.2分；扣完为止。</w:t>
            </w:r>
          </w:p>
        </w:tc>
        <w:tc>
          <w:tcPr>
            <w:tcW w:w="1619" w:type="dxa"/>
            <w:noWrap/>
            <w:vAlign w:val="center"/>
          </w:tcPr>
          <w:p w14:paraId="3E035C62">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573C6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blHeader/>
          <w:jc w:val="center"/>
        </w:trPr>
        <w:tc>
          <w:tcPr>
            <w:tcW w:w="585" w:type="dxa"/>
            <w:vMerge w:val="continue"/>
            <w:noWrap/>
            <w:vAlign w:val="center"/>
          </w:tcPr>
          <w:p w14:paraId="3E01CC3C">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p>
        </w:tc>
        <w:tc>
          <w:tcPr>
            <w:tcW w:w="968" w:type="dxa"/>
            <w:gridSpan w:val="2"/>
            <w:noWrap/>
            <w:vAlign w:val="center"/>
          </w:tcPr>
          <w:p w14:paraId="56D66637">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2.抽取气样</w:t>
            </w:r>
          </w:p>
          <w:p w14:paraId="169CC1D3">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c>
          <w:tcPr>
            <w:tcW w:w="2325" w:type="dxa"/>
            <w:noWrap/>
          </w:tcPr>
          <w:p w14:paraId="70D2C21C">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（1）将采样器三通阀把打到水平吸气位置，抽送采样器活塞往复 3～5 次，吸入规定量的待测气样；</w:t>
            </w:r>
          </w:p>
          <w:p w14:paraId="55CA52B9">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（2）将采样器三通阀把打到 45°关闭位置；</w:t>
            </w:r>
          </w:p>
          <w:p w14:paraId="78302DC6">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（3）打开CO 检测管两端封口；</w:t>
            </w:r>
          </w:p>
          <w:p w14:paraId="57AA1F25">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（4）把CO 检测管浓度标尺标（0）端插入到采样器采样插孔中；</w:t>
            </w:r>
          </w:p>
          <w:p w14:paraId="45358FD5">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（5）将采样器三通阀把打到垂直充气位置， 推动活塞将气样匀速充入 CO 检测管内；</w:t>
            </w:r>
          </w:p>
          <w:p w14:paraId="60D404F0">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（6）读取 CO 检定管上棕色环最大刻度对应的 CO 浓度值。</w:t>
            </w:r>
          </w:p>
        </w:tc>
        <w:tc>
          <w:tcPr>
            <w:tcW w:w="700" w:type="dxa"/>
            <w:noWrap/>
            <w:vAlign w:val="center"/>
          </w:tcPr>
          <w:p w14:paraId="613803BD">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5</w:t>
            </w:r>
          </w:p>
        </w:tc>
        <w:tc>
          <w:tcPr>
            <w:tcW w:w="3114" w:type="dxa"/>
            <w:noWrap/>
            <w:vAlign w:val="center"/>
          </w:tcPr>
          <w:p w14:paraId="30C6E6C5">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未手指口述和对应操作扣1分；手指口述和对应操作不正确扣1分；未采用普通话扣0.2分；语句口词不清楚扣0.2分；扣完为止。</w:t>
            </w:r>
          </w:p>
        </w:tc>
        <w:tc>
          <w:tcPr>
            <w:tcW w:w="1619" w:type="dxa"/>
            <w:noWrap/>
            <w:vAlign w:val="center"/>
          </w:tcPr>
          <w:p w14:paraId="48C7F3FE">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3B0BE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blHeader/>
          <w:jc w:val="center"/>
        </w:trPr>
        <w:tc>
          <w:tcPr>
            <w:tcW w:w="585" w:type="dxa"/>
            <w:noWrap/>
            <w:vAlign w:val="center"/>
          </w:tcPr>
          <w:p w14:paraId="7DE4B2E0">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应急处理</w:t>
            </w:r>
          </w:p>
        </w:tc>
        <w:tc>
          <w:tcPr>
            <w:tcW w:w="3293" w:type="dxa"/>
            <w:gridSpan w:val="3"/>
            <w:noWrap/>
            <w:vAlign w:val="center"/>
          </w:tcPr>
          <w:p w14:paraId="6FDE5C4C">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选手根据所抽取应急处理内容进行应急处理。</w:t>
            </w:r>
          </w:p>
        </w:tc>
        <w:tc>
          <w:tcPr>
            <w:tcW w:w="700" w:type="dxa"/>
            <w:noWrap/>
            <w:vAlign w:val="center"/>
          </w:tcPr>
          <w:p w14:paraId="749E64C8">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10</w:t>
            </w:r>
          </w:p>
        </w:tc>
        <w:tc>
          <w:tcPr>
            <w:tcW w:w="3114" w:type="dxa"/>
            <w:noWrap/>
            <w:vAlign w:val="center"/>
          </w:tcPr>
          <w:p w14:paraId="1BD3ED94">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每项应急处理内容</w:t>
            </w:r>
            <w:r>
              <w:rPr>
                <w:rFonts w:hint="eastAsia" w:ascii="宋体" w:hAnsi="宋体" w:eastAsia="宋体" w:cs="宋体"/>
                <w:color w:val="auto"/>
                <w:sz w:val="21"/>
                <w:szCs w:val="21"/>
                <w:lang w:eastAsia="zh-CN"/>
              </w:rPr>
              <w:t>至少答出3条</w:t>
            </w:r>
            <w:r>
              <w:rPr>
                <w:rFonts w:hint="eastAsia" w:ascii="宋体" w:hAnsi="宋体" w:eastAsia="宋体" w:cs="宋体"/>
                <w:color w:val="auto"/>
                <w:sz w:val="21"/>
                <w:szCs w:val="21"/>
              </w:rPr>
              <w:t>要求，口述每少一条扣2分；未采用普通话扣0.2分；语句口词不清楚扣0.2分；扣完为止。</w:t>
            </w:r>
          </w:p>
        </w:tc>
        <w:tc>
          <w:tcPr>
            <w:tcW w:w="1619" w:type="dxa"/>
            <w:noWrap/>
            <w:vAlign w:val="center"/>
          </w:tcPr>
          <w:p w14:paraId="54485A69">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5E0E6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blHeader/>
          <w:jc w:val="center"/>
        </w:trPr>
        <w:tc>
          <w:tcPr>
            <w:tcW w:w="3878" w:type="dxa"/>
            <w:gridSpan w:val="4"/>
            <w:noWrap/>
            <w:vAlign w:val="center"/>
          </w:tcPr>
          <w:p w14:paraId="17EC1B17">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合计</w:t>
            </w:r>
          </w:p>
        </w:tc>
        <w:tc>
          <w:tcPr>
            <w:tcW w:w="700" w:type="dxa"/>
            <w:noWrap/>
            <w:vAlign w:val="center"/>
          </w:tcPr>
          <w:p w14:paraId="72A76D0A">
            <w:pPr>
              <w:keepNext w:val="0"/>
              <w:keepLines w:val="0"/>
              <w:pageBreakBefore w:val="0"/>
              <w:widowControl w:val="0"/>
              <w:kinsoku/>
              <w:wordWrap/>
              <w:overflowPunct/>
              <w:topLinePunct w:val="0"/>
              <w:autoSpaceDE w:val="0"/>
              <w:autoSpaceDN w:val="0"/>
              <w:bidi w:val="0"/>
              <w:spacing w:line="2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70</w:t>
            </w:r>
          </w:p>
        </w:tc>
        <w:tc>
          <w:tcPr>
            <w:tcW w:w="4733" w:type="dxa"/>
            <w:gridSpan w:val="2"/>
            <w:noWrap/>
            <w:vAlign w:val="center"/>
          </w:tcPr>
          <w:p w14:paraId="29509155">
            <w:pPr>
              <w:keepNext w:val="0"/>
              <w:keepLines w:val="0"/>
              <w:pageBreakBefore w:val="0"/>
              <w:widowControl w:val="0"/>
              <w:kinsoku/>
              <w:wordWrap/>
              <w:overflowPunct/>
              <w:topLinePunct w:val="0"/>
              <w:autoSpaceDE w:val="0"/>
              <w:autoSpaceDN w:val="0"/>
              <w:bidi w:val="0"/>
              <w:spacing w:line="260" w:lineRule="exact"/>
              <w:jc w:val="left"/>
              <w:rPr>
                <w:rFonts w:hint="eastAsia" w:ascii="宋体" w:hAnsi="宋体" w:eastAsia="宋体" w:cs="宋体"/>
                <w:color w:val="auto"/>
                <w:sz w:val="21"/>
                <w:szCs w:val="21"/>
              </w:rPr>
            </w:pPr>
          </w:p>
        </w:tc>
      </w:tr>
      <w:tr w14:paraId="74768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blHeader/>
          <w:jc w:val="center"/>
        </w:trPr>
        <w:tc>
          <w:tcPr>
            <w:tcW w:w="9311" w:type="dxa"/>
            <w:gridSpan w:val="7"/>
            <w:noWrap/>
            <w:vAlign w:val="center"/>
          </w:tcPr>
          <w:p w14:paraId="1E0791AD">
            <w:pPr>
              <w:keepNext w:val="0"/>
              <w:keepLines w:val="0"/>
              <w:pageBreakBefore w:val="0"/>
              <w:widowControl w:val="0"/>
              <w:kinsoku/>
              <w:wordWrap/>
              <w:overflowPunct/>
              <w:topLinePunct w:val="0"/>
              <w:autoSpaceDE w:val="0"/>
              <w:autoSpaceDN w:val="0"/>
              <w:bidi w:val="0"/>
              <w:spacing w:line="600" w:lineRule="exact"/>
              <w:rPr>
                <w:rFonts w:hint="eastAsia" w:ascii="宋体" w:hAnsi="宋体" w:eastAsia="宋体" w:cs="宋体"/>
                <w:color w:val="auto"/>
                <w:sz w:val="21"/>
                <w:szCs w:val="21"/>
              </w:rPr>
            </w:pPr>
            <w:r>
              <w:rPr>
                <w:rFonts w:hint="eastAsia" w:ascii="宋体" w:hAnsi="宋体" w:eastAsia="宋体" w:cs="宋体"/>
                <w:color w:val="auto"/>
                <w:sz w:val="21"/>
                <w:szCs w:val="21"/>
              </w:rPr>
              <w:t>操作时间：_______________</w:t>
            </w:r>
          </w:p>
          <w:p w14:paraId="1F412CB4">
            <w:pPr>
              <w:keepNext w:val="0"/>
              <w:keepLines w:val="0"/>
              <w:pageBreakBefore w:val="0"/>
              <w:widowControl w:val="0"/>
              <w:kinsoku/>
              <w:wordWrap/>
              <w:overflowPunct/>
              <w:topLinePunct w:val="0"/>
              <w:autoSpaceDE w:val="0"/>
              <w:autoSpaceDN w:val="0"/>
              <w:bidi w:val="0"/>
              <w:spacing w:line="260" w:lineRule="exact"/>
              <w:ind w:firstLine="5250" w:firstLineChars="2500"/>
              <w:jc w:val="left"/>
              <w:rPr>
                <w:rFonts w:hint="eastAsia" w:ascii="宋体" w:hAnsi="宋体" w:eastAsia="宋体" w:cs="宋体"/>
                <w:color w:val="auto"/>
                <w:sz w:val="21"/>
                <w:szCs w:val="21"/>
              </w:rPr>
            </w:pPr>
            <w:r>
              <w:rPr>
                <w:rFonts w:hint="eastAsia" w:ascii="宋体" w:hAnsi="宋体" w:eastAsia="宋体" w:cs="宋体"/>
                <w:color w:val="auto"/>
                <w:sz w:val="21"/>
                <w:szCs w:val="21"/>
              </w:rPr>
              <w:t>得分：_______________</w:t>
            </w:r>
          </w:p>
        </w:tc>
      </w:tr>
      <w:tr w14:paraId="65EDD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blHeader/>
          <w:jc w:val="center"/>
        </w:trPr>
        <w:tc>
          <w:tcPr>
            <w:tcW w:w="9311" w:type="dxa"/>
            <w:gridSpan w:val="7"/>
            <w:noWrap/>
            <w:vAlign w:val="center"/>
          </w:tcPr>
          <w:p w14:paraId="7EAD434A">
            <w:pPr>
              <w:keepNext w:val="0"/>
              <w:keepLines w:val="0"/>
              <w:pageBreakBefore w:val="0"/>
              <w:widowControl w:val="0"/>
              <w:kinsoku/>
              <w:wordWrap/>
              <w:overflowPunct/>
              <w:topLinePunct w:val="0"/>
              <w:autoSpaceDE w:val="0"/>
              <w:autoSpaceDN w:val="0"/>
              <w:bidi w:val="0"/>
              <w:spacing w:line="600" w:lineRule="exac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裁判员（签字）：</w:t>
            </w:r>
            <w:r>
              <w:rPr>
                <w:rFonts w:hint="eastAsia" w:ascii="宋体" w:hAnsi="宋体" w:cs="宋体"/>
                <w:color w:val="auto"/>
                <w:sz w:val="21"/>
                <w:szCs w:val="21"/>
                <w:lang w:val="en-US" w:eastAsia="zh-CN"/>
              </w:rPr>
              <w:t xml:space="preserve">                                 </w:t>
            </w:r>
          </w:p>
          <w:p w14:paraId="63A0FA91">
            <w:pPr>
              <w:pStyle w:val="5"/>
              <w:keepNext w:val="0"/>
              <w:keepLines w:val="0"/>
              <w:pageBreakBefore w:val="0"/>
              <w:widowControl w:val="0"/>
              <w:kinsoku/>
              <w:wordWrap/>
              <w:overflowPunct/>
              <w:topLinePunct w:val="0"/>
              <w:autoSpaceDE w:val="0"/>
              <w:autoSpaceDN w:val="0"/>
              <w:bidi w:val="0"/>
              <w:rPr>
                <w:rFonts w:hint="eastAsia" w:ascii="宋体" w:hAnsi="宋体" w:eastAsia="宋体" w:cs="宋体"/>
                <w:color w:val="auto"/>
                <w:sz w:val="21"/>
                <w:szCs w:val="21"/>
              </w:rPr>
            </w:pPr>
          </w:p>
        </w:tc>
      </w:tr>
    </w:tbl>
    <w:p w14:paraId="7FE7335F">
      <w:pPr>
        <w:pStyle w:val="16"/>
        <w:keepNext w:val="0"/>
        <w:keepLines w:val="0"/>
        <w:pageBreakBefore w:val="0"/>
        <w:widowControl w:val="0"/>
        <w:tabs>
          <w:tab w:val="center" w:pos="4153"/>
          <w:tab w:val="right" w:pos="8306"/>
        </w:tabs>
        <w:kinsoku/>
        <w:wordWrap/>
        <w:overflowPunct/>
        <w:topLinePunct w:val="0"/>
        <w:autoSpaceDE w:val="0"/>
        <w:autoSpaceDN w:val="0"/>
        <w:bidi w:val="0"/>
        <w:rPr>
          <w:rFonts w:hint="eastAsia" w:ascii="宋体" w:hAnsi="宋体" w:eastAsia="宋体" w:cs="宋体"/>
          <w:color w:val="auto"/>
          <w:kern w:val="2"/>
          <w:sz w:val="21"/>
          <w:szCs w:val="21"/>
          <w:lang w:val="en-US" w:eastAsia="zh-CN" w:bidi="ar-SA"/>
        </w:rPr>
      </w:pPr>
    </w:p>
    <w:p w14:paraId="76DD4F77">
      <w:pPr>
        <w:pStyle w:val="16"/>
        <w:keepNext w:val="0"/>
        <w:keepLines w:val="0"/>
        <w:pageBreakBefore w:val="0"/>
        <w:widowControl w:val="0"/>
        <w:tabs>
          <w:tab w:val="center" w:pos="4153"/>
          <w:tab w:val="right" w:pos="8306"/>
        </w:tabs>
        <w:kinsoku/>
        <w:wordWrap/>
        <w:overflowPunct/>
        <w:topLinePunct w:val="0"/>
        <w:autoSpaceDE w:val="0"/>
        <w:autoSpaceDN w:val="0"/>
        <w:bidi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裁判长（签字）：</w:t>
      </w:r>
    </w:p>
    <w:p w14:paraId="60D999D9">
      <w:pPr>
        <w:keepNext w:val="0"/>
        <w:keepLines w:val="0"/>
        <w:pageBreakBefore w:val="0"/>
        <w:widowControl w:val="0"/>
        <w:kinsoku/>
        <w:wordWrap/>
        <w:overflowPunct/>
        <w:topLinePunct w:val="0"/>
        <w:autoSpaceDE w:val="0"/>
        <w:autoSpaceDN w:val="0"/>
        <w:bidi w:val="0"/>
        <w:snapToGrid w:val="0"/>
        <w:spacing w:line="560" w:lineRule="exact"/>
        <w:rPr>
          <w:rFonts w:hint="eastAsia" w:ascii="宋体" w:hAnsi="宋体" w:eastAsia="宋体" w:cs="宋体"/>
          <w:color w:val="auto"/>
          <w:kern w:val="2"/>
          <w:sz w:val="21"/>
          <w:szCs w:val="21"/>
          <w:lang w:val="en-US" w:eastAsia="zh-CN" w:bidi="ar-SA"/>
        </w:rPr>
      </w:pPr>
    </w:p>
    <w:p w14:paraId="7984D908">
      <w:pPr>
        <w:keepNext w:val="0"/>
        <w:keepLines w:val="0"/>
        <w:pageBreakBefore w:val="0"/>
        <w:widowControl w:val="0"/>
        <w:kinsoku/>
        <w:wordWrap/>
        <w:overflowPunct/>
        <w:topLinePunct w:val="0"/>
        <w:autoSpaceDE w:val="0"/>
        <w:autoSpaceDN w:val="0"/>
        <w:bidi w:val="0"/>
        <w:snapToGrid w:val="0"/>
        <w:spacing w:line="560" w:lineRule="exact"/>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附件5</w:t>
      </w:r>
    </w:p>
    <w:p w14:paraId="503F17AE">
      <w:pPr>
        <w:keepNext w:val="0"/>
        <w:keepLines w:val="0"/>
        <w:pageBreakBefore w:val="0"/>
        <w:widowControl w:val="0"/>
        <w:kinsoku/>
        <w:wordWrap/>
        <w:overflowPunct/>
        <w:topLinePunct w:val="0"/>
        <w:autoSpaceDE w:val="0"/>
        <w:autoSpaceDN w:val="0"/>
        <w:bidi w:val="0"/>
        <w:jc w:val="center"/>
        <w:rPr>
          <w:rFonts w:ascii="宋体" w:hAnsi="宋体" w:eastAsia="宋体" w:cs="宋体"/>
          <w:b/>
          <w:bCs/>
          <w:color w:val="auto"/>
          <w:sz w:val="32"/>
          <w:szCs w:val="32"/>
        </w:rPr>
      </w:pPr>
      <w:r>
        <w:rPr>
          <w:rFonts w:hint="eastAsia" w:ascii="宋体" w:hAnsi="宋体" w:eastAsia="宋体" w:cs="宋体"/>
          <w:b/>
          <w:bCs/>
          <w:color w:val="auto"/>
          <w:sz w:val="32"/>
          <w:szCs w:val="32"/>
        </w:rPr>
        <w:t>现场出现异常情况应急处理方案</w:t>
      </w:r>
    </w:p>
    <w:p w14:paraId="692B78BA">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.掘进工作面</w:t>
      </w:r>
      <w:r>
        <w:rPr>
          <w:rFonts w:hint="eastAsia" w:ascii="宋体" w:hAnsi="宋体" w:eastAsia="宋体" w:cs="宋体"/>
          <w:color w:val="auto"/>
          <w:sz w:val="21"/>
          <w:szCs w:val="21"/>
          <w:lang w:val="en-US" w:eastAsia="zh-CN"/>
        </w:rPr>
        <w:t>及</w:t>
      </w:r>
      <w:r>
        <w:rPr>
          <w:rFonts w:hint="eastAsia" w:ascii="宋体" w:hAnsi="宋体" w:eastAsia="宋体" w:cs="宋体"/>
          <w:color w:val="auto"/>
          <w:sz w:val="21"/>
          <w:szCs w:val="21"/>
        </w:rPr>
        <w:t>回风流</w:t>
      </w:r>
      <w:r>
        <w:rPr>
          <w:rFonts w:hint="eastAsia" w:ascii="宋体" w:hAnsi="宋体" w:eastAsia="宋体" w:cs="宋体"/>
          <w:color w:val="auto"/>
          <w:sz w:val="21"/>
          <w:szCs w:val="21"/>
          <w:lang w:val="en-US" w:eastAsia="zh-CN"/>
        </w:rPr>
        <w:t>中</w:t>
      </w:r>
      <w:r>
        <w:rPr>
          <w:rFonts w:hint="eastAsia" w:ascii="宋体" w:hAnsi="宋体" w:eastAsia="宋体" w:cs="宋体"/>
          <w:color w:val="auto"/>
          <w:sz w:val="21"/>
          <w:szCs w:val="21"/>
        </w:rPr>
        <w:t>瓦斯超限应</w:t>
      </w:r>
      <w:r>
        <w:rPr>
          <w:rFonts w:hint="eastAsia" w:ascii="宋体" w:hAnsi="宋体" w:eastAsia="宋体" w:cs="宋体"/>
          <w:color w:val="auto"/>
          <w:sz w:val="21"/>
          <w:szCs w:val="21"/>
          <w:lang w:val="en-US" w:eastAsia="zh-CN"/>
        </w:rPr>
        <w:t>如何应急</w:t>
      </w:r>
      <w:r>
        <w:rPr>
          <w:rFonts w:hint="eastAsia" w:ascii="宋体" w:hAnsi="宋体" w:eastAsia="宋体" w:cs="宋体"/>
          <w:color w:val="auto"/>
          <w:sz w:val="21"/>
          <w:szCs w:val="21"/>
        </w:rPr>
        <w:t>处置</w:t>
      </w:r>
      <w:r>
        <w:rPr>
          <w:rFonts w:hint="eastAsia" w:ascii="宋体" w:hAnsi="宋体" w:eastAsia="宋体" w:cs="宋体"/>
          <w:color w:val="auto"/>
          <w:sz w:val="21"/>
          <w:szCs w:val="21"/>
          <w:lang w:eastAsia="zh-CN"/>
        </w:rPr>
        <w:t>？</w:t>
      </w:r>
    </w:p>
    <w:p w14:paraId="0FC3C300">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答：</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掘进工作面</w:t>
      </w:r>
      <w:r>
        <w:rPr>
          <w:rFonts w:hint="eastAsia" w:ascii="宋体" w:hAnsi="宋体" w:eastAsia="宋体" w:cs="宋体"/>
          <w:color w:val="auto"/>
          <w:sz w:val="21"/>
          <w:szCs w:val="21"/>
          <w:lang w:val="en-US" w:eastAsia="zh-CN"/>
        </w:rPr>
        <w:t>及</w:t>
      </w:r>
      <w:r>
        <w:rPr>
          <w:rFonts w:hint="eastAsia" w:ascii="宋体" w:hAnsi="宋体" w:eastAsia="宋体" w:cs="宋体"/>
          <w:color w:val="auto"/>
          <w:sz w:val="21"/>
          <w:szCs w:val="21"/>
        </w:rPr>
        <w:t>回风流</w:t>
      </w:r>
      <w:r>
        <w:rPr>
          <w:rFonts w:hint="eastAsia" w:ascii="宋体" w:hAnsi="宋体" w:eastAsia="宋体" w:cs="宋体"/>
          <w:color w:val="auto"/>
          <w:sz w:val="21"/>
          <w:szCs w:val="21"/>
          <w:lang w:val="en-US" w:eastAsia="zh-CN"/>
        </w:rPr>
        <w:t>中</w:t>
      </w:r>
      <w:r>
        <w:rPr>
          <w:rFonts w:hint="eastAsia" w:ascii="宋体" w:hAnsi="宋体" w:eastAsia="宋体" w:cs="宋体"/>
          <w:color w:val="auto"/>
          <w:sz w:val="21"/>
          <w:szCs w:val="21"/>
        </w:rPr>
        <w:t>出现瓦斯超限应遵循“停电、撤人、</w:t>
      </w:r>
      <w:r>
        <w:rPr>
          <w:rFonts w:hint="eastAsia" w:ascii="宋体" w:hAnsi="宋体" w:eastAsia="宋体" w:cs="宋体"/>
          <w:color w:val="auto"/>
          <w:sz w:val="21"/>
          <w:szCs w:val="21"/>
          <w:lang w:val="en-US" w:eastAsia="zh-CN"/>
        </w:rPr>
        <w:t>设置栅栏、设置警标、禁止人员进入、</w:t>
      </w:r>
      <w:r>
        <w:rPr>
          <w:rFonts w:hint="eastAsia" w:ascii="宋体" w:hAnsi="宋体" w:eastAsia="宋体" w:cs="宋体"/>
          <w:color w:val="auto"/>
          <w:sz w:val="21"/>
          <w:szCs w:val="21"/>
        </w:rPr>
        <w:t>汇报”的原则。</w:t>
      </w:r>
    </w:p>
    <w:p w14:paraId="11578BA7">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（2）掘进工作面风流中甲烷浓度达到1.0%时，必须停止用电钻打眼；爆破地点附近20m以内风流中甲烷浓度达到1.0%时，严禁爆破。</w:t>
      </w:r>
    </w:p>
    <w:p w14:paraId="4470FE86">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（3）掘进工作面及其他作业地点风流中、电动机或者其开关安设地点附近20m以内风流中甲烷浓度达到1.5%时必须停止作业，切断电源，撤出人员，进行处理。</w:t>
      </w:r>
    </w:p>
    <w:p w14:paraId="1C15B48A">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（4）掘进工作面回风流中甲烷浓度超过1.0%或者二氧化碳浓度超过1.5%时，必须停止作业，撤出人员，采取措施，进行处理。</w:t>
      </w:r>
    </w:p>
    <w:p w14:paraId="04BA2F97">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（5）在采取措施，进行处理的同时，向矿调度室报告。</w:t>
      </w:r>
    </w:p>
    <w:p w14:paraId="4754FE16">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2.掘进工作面局部通风机停止运转后应如何应急处置？</w:t>
      </w:r>
    </w:p>
    <w:p w14:paraId="5FEF5B31">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答：（1）当掘进工作面局部</w:t>
      </w:r>
      <w:r>
        <w:rPr>
          <w:rFonts w:hint="eastAsia" w:ascii="宋体" w:hAnsi="宋体" w:eastAsia="宋体" w:cs="宋体"/>
          <w:color w:val="auto"/>
          <w:sz w:val="21"/>
          <w:szCs w:val="21"/>
          <w:lang w:val="en-US" w:eastAsia="zh-CN"/>
        </w:rPr>
        <w:fldChar w:fldCharType="begin"/>
      </w:r>
      <w:r>
        <w:rPr>
          <w:rFonts w:hint="eastAsia" w:ascii="宋体" w:hAnsi="宋体" w:eastAsia="宋体" w:cs="宋体"/>
          <w:color w:val="auto"/>
          <w:sz w:val="21"/>
          <w:szCs w:val="21"/>
          <w:lang w:val="en-US" w:eastAsia="zh-CN"/>
        </w:rPr>
        <w:instrText xml:space="preserve"> HYPERLINK "http://www.mkaq.org/ytsf/" \o "一通三防" \t "_blank" </w:instrText>
      </w:r>
      <w:r>
        <w:rPr>
          <w:rFonts w:hint="eastAsia" w:ascii="宋体" w:hAnsi="宋体" w:eastAsia="宋体" w:cs="宋体"/>
          <w:color w:val="auto"/>
          <w:sz w:val="21"/>
          <w:szCs w:val="21"/>
          <w:lang w:val="en-US" w:eastAsia="zh-CN"/>
        </w:rPr>
        <w:fldChar w:fldCharType="separate"/>
      </w:r>
      <w:r>
        <w:rPr>
          <w:rFonts w:hint="eastAsia" w:ascii="宋体" w:hAnsi="宋体" w:eastAsia="宋体" w:cs="宋体"/>
          <w:color w:val="auto"/>
          <w:sz w:val="21"/>
          <w:szCs w:val="21"/>
          <w:lang w:val="en-US" w:eastAsia="zh-CN"/>
        </w:rPr>
        <w:t>通风</w:t>
      </w:r>
      <w:r>
        <w:rPr>
          <w:rFonts w:hint="eastAsia" w:ascii="宋体" w:hAnsi="宋体" w:eastAsia="宋体" w:cs="宋体"/>
          <w:color w:val="auto"/>
          <w:sz w:val="21"/>
          <w:szCs w:val="21"/>
          <w:lang w:val="en-US" w:eastAsia="zh-CN"/>
        </w:rPr>
        <w:fldChar w:fldCharType="end"/>
      </w:r>
      <w:r>
        <w:rPr>
          <w:rFonts w:hint="eastAsia" w:ascii="宋体" w:hAnsi="宋体" w:eastAsia="宋体" w:cs="宋体"/>
          <w:color w:val="auto"/>
          <w:sz w:val="21"/>
          <w:szCs w:val="21"/>
          <w:lang w:val="en-US" w:eastAsia="zh-CN"/>
        </w:rPr>
        <w:t>机因停电或其他原因突然停止运转时，要立即通知该工作面工作人员停止作业.</w:t>
      </w:r>
    </w:p>
    <w:p w14:paraId="7184BA25">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（2）在跟班队长或现场</w:t>
      </w:r>
      <w:r>
        <w:rPr>
          <w:rFonts w:hint="eastAsia" w:ascii="宋体" w:hAnsi="宋体" w:eastAsia="宋体" w:cs="宋体"/>
          <w:color w:val="auto"/>
          <w:sz w:val="21"/>
          <w:szCs w:val="21"/>
          <w:lang w:val="en-US" w:eastAsia="zh-CN"/>
        </w:rPr>
        <w:fldChar w:fldCharType="begin"/>
      </w:r>
      <w:r>
        <w:rPr>
          <w:rFonts w:hint="eastAsia" w:ascii="宋体" w:hAnsi="宋体" w:eastAsia="宋体" w:cs="宋体"/>
          <w:color w:val="auto"/>
          <w:sz w:val="21"/>
          <w:szCs w:val="21"/>
          <w:lang w:val="en-US" w:eastAsia="zh-CN"/>
        </w:rPr>
        <w:instrText xml:space="preserve"> HYPERLINK "http://www.mkaq.org/mkgl/bzjs/" \o "煤矿班组建设" \t "_blank" </w:instrText>
      </w:r>
      <w:r>
        <w:rPr>
          <w:rFonts w:hint="eastAsia" w:ascii="宋体" w:hAnsi="宋体" w:eastAsia="宋体" w:cs="宋体"/>
          <w:color w:val="auto"/>
          <w:sz w:val="21"/>
          <w:szCs w:val="21"/>
          <w:lang w:val="en-US" w:eastAsia="zh-CN"/>
        </w:rPr>
        <w:fldChar w:fldCharType="separate"/>
      </w:r>
      <w:r>
        <w:rPr>
          <w:rFonts w:hint="eastAsia" w:ascii="宋体" w:hAnsi="宋体" w:eastAsia="宋体" w:cs="宋体"/>
          <w:color w:val="auto"/>
          <w:sz w:val="21"/>
          <w:szCs w:val="21"/>
          <w:lang w:val="en-US" w:eastAsia="zh-CN"/>
        </w:rPr>
        <w:t>班组</w:t>
      </w:r>
      <w:r>
        <w:rPr>
          <w:rFonts w:hint="eastAsia" w:ascii="宋体" w:hAnsi="宋体" w:eastAsia="宋体" w:cs="宋体"/>
          <w:color w:val="auto"/>
          <w:sz w:val="21"/>
          <w:szCs w:val="21"/>
          <w:lang w:val="en-US" w:eastAsia="zh-CN"/>
        </w:rPr>
        <w:fldChar w:fldCharType="end"/>
      </w:r>
      <w:r>
        <w:rPr>
          <w:rFonts w:hint="eastAsia" w:ascii="宋体" w:hAnsi="宋体" w:eastAsia="宋体" w:cs="宋体"/>
          <w:color w:val="auto"/>
          <w:sz w:val="21"/>
          <w:szCs w:val="21"/>
          <w:lang w:val="en-US" w:eastAsia="zh-CN"/>
        </w:rPr>
        <w:t>长的指挥带领下，撤出到全风压</w:t>
      </w:r>
      <w:r>
        <w:rPr>
          <w:rFonts w:hint="eastAsia" w:ascii="宋体" w:hAnsi="宋体" w:eastAsia="宋体" w:cs="宋体"/>
          <w:color w:val="auto"/>
          <w:sz w:val="21"/>
          <w:szCs w:val="21"/>
          <w:lang w:val="en-US" w:eastAsia="zh-CN"/>
        </w:rPr>
        <w:fldChar w:fldCharType="begin"/>
      </w:r>
      <w:r>
        <w:rPr>
          <w:rFonts w:hint="eastAsia" w:ascii="宋体" w:hAnsi="宋体" w:eastAsia="宋体" w:cs="宋体"/>
          <w:color w:val="auto"/>
          <w:sz w:val="21"/>
          <w:szCs w:val="21"/>
          <w:lang w:val="en-US" w:eastAsia="zh-CN"/>
        </w:rPr>
        <w:instrText xml:space="preserve"> HYPERLINK "http://www.mkaq.org/ytsf/" \o "一通三防" \t "_blank" </w:instrText>
      </w:r>
      <w:r>
        <w:rPr>
          <w:rFonts w:hint="eastAsia" w:ascii="宋体" w:hAnsi="宋体" w:eastAsia="宋体" w:cs="宋体"/>
          <w:color w:val="auto"/>
          <w:sz w:val="21"/>
          <w:szCs w:val="21"/>
          <w:lang w:val="en-US" w:eastAsia="zh-CN"/>
        </w:rPr>
        <w:fldChar w:fldCharType="separate"/>
      </w:r>
      <w:r>
        <w:rPr>
          <w:rFonts w:hint="eastAsia" w:ascii="宋体" w:hAnsi="宋体" w:eastAsia="宋体" w:cs="宋体"/>
          <w:color w:val="auto"/>
          <w:sz w:val="21"/>
          <w:szCs w:val="21"/>
          <w:lang w:val="en-US" w:eastAsia="zh-CN"/>
        </w:rPr>
        <w:t>通风</w:t>
      </w:r>
      <w:r>
        <w:rPr>
          <w:rFonts w:hint="eastAsia" w:ascii="宋体" w:hAnsi="宋体" w:eastAsia="宋体" w:cs="宋体"/>
          <w:color w:val="auto"/>
          <w:sz w:val="21"/>
          <w:szCs w:val="21"/>
          <w:lang w:val="en-US" w:eastAsia="zh-CN"/>
        </w:rPr>
        <w:fldChar w:fldCharType="end"/>
      </w:r>
      <w:r>
        <w:rPr>
          <w:rFonts w:hint="eastAsia" w:ascii="宋体" w:hAnsi="宋体" w:eastAsia="宋体" w:cs="宋体"/>
          <w:color w:val="auto"/>
          <w:sz w:val="21"/>
          <w:szCs w:val="21"/>
          <w:lang w:val="en-US" w:eastAsia="zh-CN"/>
        </w:rPr>
        <w:t>的主要进风巷道中。</w:t>
      </w:r>
    </w:p>
    <w:p w14:paraId="2C4E9779">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（3）在撤出的同时，应切断掘进工作面内电源、在全风压巷道口设置栅栏、设置警标、禁止人员进入，并向矿调度室报告。</w:t>
      </w:r>
    </w:p>
    <w:p w14:paraId="69F3F84C">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在恢复通风前必须首先检查瓦斯，只有在停风区盲巷口中最高甲烷浓度不超过1.0%和最高二氧化碳浓度不超过1.5%，且局部通风机及其开关附近10m以内风流中甲烷浓度都不超过0.5%时，方可人工开启局部通风机，恢复正常通风。</w:t>
      </w:r>
    </w:p>
    <w:p w14:paraId="749829F3">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（5）恢复通风后，待风流稳定后，经检查气体符合规定后，方可进入作业。</w:t>
      </w:r>
    </w:p>
    <w:p w14:paraId="486EC1BD">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3.掘进工作面高冒处出现瓦斯积聚</w:t>
      </w:r>
      <w:r>
        <w:rPr>
          <w:rFonts w:hint="eastAsia" w:ascii="宋体" w:hAnsi="宋体" w:eastAsia="宋体" w:cs="宋体"/>
          <w:color w:val="auto"/>
          <w:sz w:val="21"/>
          <w:szCs w:val="21"/>
          <w:lang w:val="en-US" w:eastAsia="zh-CN"/>
        </w:rPr>
        <w:t>应</w:t>
      </w:r>
      <w:r>
        <w:rPr>
          <w:rFonts w:hint="eastAsia" w:ascii="宋体" w:hAnsi="宋体" w:eastAsia="宋体" w:cs="宋体"/>
          <w:color w:val="auto"/>
          <w:sz w:val="21"/>
          <w:szCs w:val="21"/>
        </w:rPr>
        <w:t>如何</w:t>
      </w:r>
      <w:r>
        <w:rPr>
          <w:rFonts w:hint="eastAsia" w:ascii="宋体" w:hAnsi="宋体" w:eastAsia="宋体" w:cs="宋体"/>
          <w:color w:val="auto"/>
          <w:sz w:val="21"/>
          <w:szCs w:val="21"/>
          <w:lang w:val="en-US" w:eastAsia="zh-CN"/>
        </w:rPr>
        <w:t>应急处置</w:t>
      </w:r>
      <w:r>
        <w:rPr>
          <w:rFonts w:hint="eastAsia" w:ascii="宋体" w:hAnsi="宋体" w:eastAsia="宋体" w:cs="宋体"/>
          <w:color w:val="auto"/>
          <w:sz w:val="21"/>
          <w:szCs w:val="21"/>
        </w:rPr>
        <w:t>？</w:t>
      </w:r>
    </w:p>
    <w:p w14:paraId="6A0F7F20">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答：（1）导风板引风法：在高顶空间下的支架顶梁上钉挡板，把一部分风流引到高冒处，吹散积聚瓦斯。</w:t>
      </w:r>
    </w:p>
    <w:p w14:paraId="4B8FA295">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（2）充填置换法：在棚梁上铺设一定厚度的木板或荆篱，再在上面填满土或砂子，从而将积聚的瓦斯置换排出。</w:t>
      </w:r>
    </w:p>
    <w:p w14:paraId="67483B1C">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（3）风筒分支排放法：巷道内若有风筒，可在冒顶处附近的风筒上加“三通”或安设一段小直径的分支风筒，向冒顶空洞内送风，以排出积聚的瓦斯。</w:t>
      </w:r>
    </w:p>
    <w:p w14:paraId="039DB708">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（4）压风排除法：在有压风管通过的巷道，可在管路上接出分支，并在支管上设若干个喷嘴，利用压风将积聚的瓦斯排出。</w:t>
      </w:r>
    </w:p>
    <w:p w14:paraId="64A05366">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封闭抽放法：如果高冒处瓦斯涌出量很大，若采用风流吹散法排出的瓦斯使巷道风流中瓦斯超限，即可采用此法。将冒落空间与巷道顶底板之间，用木板并涂抹黄泥等材料封闭隔离，然后插入抽放管并接至矿井瓦斯抽放管路系统进行抽放。</w:t>
      </w:r>
    </w:p>
    <w:p w14:paraId="0F853849">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4.打钻时出现煤与瓦</w:t>
      </w:r>
      <w:r>
        <w:rPr>
          <w:rFonts w:hint="eastAsia" w:ascii="宋体" w:hAnsi="宋体" w:eastAsia="宋体" w:cs="宋体"/>
          <w:color w:val="auto"/>
          <w:sz w:val="21"/>
          <w:szCs w:val="21"/>
          <w:lang w:eastAsia="zh-CN"/>
        </w:rPr>
        <w:t>斯突出预兆如何</w:t>
      </w:r>
      <w:r>
        <w:rPr>
          <w:rFonts w:hint="eastAsia" w:ascii="宋体" w:hAnsi="宋体" w:eastAsia="宋体" w:cs="宋体"/>
          <w:color w:val="auto"/>
          <w:sz w:val="21"/>
          <w:szCs w:val="21"/>
          <w:lang w:val="en-US" w:eastAsia="zh-CN"/>
        </w:rPr>
        <w:t>应急</w:t>
      </w:r>
      <w:r>
        <w:rPr>
          <w:rFonts w:hint="eastAsia" w:ascii="宋体" w:hAnsi="宋体" w:eastAsia="宋体" w:cs="宋体"/>
          <w:color w:val="auto"/>
          <w:sz w:val="21"/>
          <w:szCs w:val="21"/>
          <w:lang w:eastAsia="zh-CN"/>
        </w:rPr>
        <w:t>处置。</w:t>
      </w:r>
    </w:p>
    <w:p w14:paraId="05D668D9">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答：（1）在打钻时出现喷孔、顶钻、夹钻等煤与瓦斯突出预兆时，应立即停止打钻、停止作业，严禁将钻杆拔出或拆下钻杆，仍然保持钻杆在打钻时的状态。</w:t>
      </w:r>
    </w:p>
    <w:p w14:paraId="6271AD0D">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（2）现场人员要立即按避灾路线撤出。撤出时每个人都必须佩戴好隔离式自救器，同时要将发生突出预兆的地点、预兆情况及人员撤离情况向矿调度室汇报。</w:t>
      </w:r>
    </w:p>
    <w:p w14:paraId="4A5216F2">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（3）在撤出的同时，应立即切断作业地点及回风流中的一切“非本质安全型”电气设备的电源。</w:t>
      </w:r>
    </w:p>
    <w:p w14:paraId="3CAB2C34">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（4）撤离现场要关闭途径的反向风门，并在影响区域或瓦斯流经区域全风压混合处设置栅栏和警标、禁止人员进入。</w:t>
      </w:r>
    </w:p>
    <w:p w14:paraId="354E80B8">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textAlignment w:val="auto"/>
        <w:rPr>
          <w:rFonts w:hint="eastAsia" w:ascii="宋体" w:hAnsi="宋体" w:eastAsia="宋体" w:cs="宋体"/>
          <w:color w:val="auto"/>
          <w:spacing w:val="0"/>
          <w:sz w:val="21"/>
          <w:szCs w:val="21"/>
          <w:lang w:val="en-US" w:eastAsia="zh-CN"/>
        </w:rPr>
      </w:pPr>
      <w:r>
        <w:rPr>
          <w:rFonts w:hint="eastAsia" w:ascii="宋体" w:hAnsi="宋体" w:eastAsia="宋体" w:cs="宋体"/>
          <w:color w:val="auto"/>
          <w:sz w:val="21"/>
          <w:szCs w:val="21"/>
          <w:lang w:val="en-US" w:eastAsia="zh-CN"/>
        </w:rPr>
        <w:t>（5）当确定不能撤出危险区域时，要进入就近的避难硐室，关好隔离门，打开供气阀，做好自</w:t>
      </w:r>
      <w:r>
        <w:rPr>
          <w:rFonts w:hint="eastAsia" w:ascii="宋体" w:hAnsi="宋体" w:eastAsia="宋体" w:cs="宋体"/>
          <w:color w:val="auto"/>
          <w:spacing w:val="0"/>
          <w:sz w:val="21"/>
          <w:szCs w:val="21"/>
          <w:lang w:val="en-US" w:eastAsia="zh-CN"/>
        </w:rPr>
        <w:t>救等工作。</w:t>
      </w:r>
    </w:p>
    <w:p w14:paraId="61154E5F">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5、采空区出现自燃火灾，应如何处置。</w:t>
      </w:r>
    </w:p>
    <w:p w14:paraId="28FBB935">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答：（1）采空区发生自燃火灾时，应当视火灾程度、灾区通风和瓦斯情况，立即采取有效措施进行直接灭火。</w:t>
      </w:r>
    </w:p>
    <w:p w14:paraId="2E138956">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（2）当直接灭火无效或者采空区有爆炸危险时，必须撤出人员，封闭工作面。</w:t>
      </w:r>
    </w:p>
    <w:p w14:paraId="36CD1ADF">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（3）采煤工作面采空区发生自燃火灾封闭后（或发生自燃火灾的其他密闭区），应当采取措施减少漏风，并向密闭区域内连续注入惰性气体，保持密闭区域氧气浓度不大于5.0%。</w:t>
      </w:r>
    </w:p>
    <w:p w14:paraId="534C2AC0">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（4）为加速封闭火区熄火，在火源位置分析或探测的基础上，可在地面或者井下施工钻孔，或者利用预埋管路向火源位置注入灭火材料。</w:t>
      </w:r>
    </w:p>
    <w:p w14:paraId="448C1BA2">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（5）灭火过程中应当连续观测火区内气体、温度等参数，考察灭火效果，完善灭火措施，直至火区达到熄灭标准。</w:t>
      </w:r>
    </w:p>
    <w:p w14:paraId="1C5B00BB">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6、井下突水主要预兆有哪些？水灾现场应如何进行应急处置措施？</w:t>
      </w:r>
    </w:p>
    <w:p w14:paraId="3D3C09F8">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答：井下突水预兆主要有煤（岩）壁挂红、挂汗，空气变冷、出现雾气、顶板淋水加大、顶板来压、底板鼓起或产生裂隙，出现渗水、水叫、水色发浑、有臭味等。</w:t>
      </w:r>
    </w:p>
    <w:p w14:paraId="7FED8C0C">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水灾现场应急措施主要有：</w:t>
      </w:r>
      <w:r>
        <w:rPr>
          <w:rFonts w:hint="eastAsia" w:ascii="宋体" w:hAnsi="宋体" w:eastAsia="宋体" w:cs="宋体"/>
          <w:color w:val="auto"/>
          <w:spacing w:val="0"/>
          <w:sz w:val="21"/>
          <w:szCs w:val="21"/>
          <w:lang w:val="en-US" w:eastAsia="zh-CN"/>
        </w:rPr>
        <w:tab/>
      </w:r>
    </w:p>
    <w:p w14:paraId="01CDE43C">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1）现场人员应立即避开出水口和泄水流，按照透水事故避灾路线，迅速撤离灾区，通知井下其他可能受水害威胁区域的作业人员，并向调度室报告，如果是老空水涌出，巷道有毒有害气体浓度增高，撤离时应佩戴好自救器。</w:t>
      </w:r>
    </w:p>
    <w:p w14:paraId="45BEABE8">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 xml:space="preserve">（2）在突水迅猛、水流急速，来不及转移躲避时，要立即抓牢棚梁、棚腿或其他固定物体，防止被涌水打倒或冲走。  </w:t>
      </w:r>
    </w:p>
    <w:p w14:paraId="3B1918BD">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（3）在无法撤至地面时应紧急避险，迅速撤往突水地点以上水平，进入避难硐室、拐弯巷道、高处的独头上山或其他地势较高的安全地点，等待救援人员营救，严禁盲目潜水等冒险行为。</w:t>
      </w:r>
    </w:p>
    <w:p w14:paraId="2B6B5B3F">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4）在避灾期间，遇险人员要保持镇定、情绪稳定、意志坚强，要做好长时间避灾的准备。班组长和经验丰富的工人组织自救互救，安排人员轮流观察水情，监测气体浓度变化，尽量减少体力和空气消耗。要想办法与外界取得联系，可用敲击等方法有规律地发出呼救信号。</w:t>
      </w:r>
    </w:p>
    <w:p w14:paraId="5114FBEF">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7、井下出现明火火灾的现场应急处置措施有哪些？</w:t>
      </w:r>
    </w:p>
    <w:p w14:paraId="77C42E48">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1）井下发生火灾后，在救援队及医护人员未到达之前，现场作业人员应迅速组织自救和互救，处于回风侧的人员要迅速佩戴自救器，按照火灾事故避灾路线，撤至新鲜风流中直至地面，在撤离时要设法切断灾区电源。</w:t>
      </w:r>
    </w:p>
    <w:p w14:paraId="4EFAE659">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2）任何人发现井下火灾时，应当视火灾性质、灾区通风和瓦斯情况，立即采取一切可能的方法直接灭火，控制火势，并迅速报告矿调度室。矿调度室在接到井下火灾报告后，应当立即按灾害预防和处理计划通知有关人员组织抢救灾区人员和实施灭火工作。</w:t>
      </w:r>
    </w:p>
    <w:p w14:paraId="36D06D9D">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3）矿值班调度和在现场的区、队、班组长应当依照灾害预防和处理计划的规定，将所有可能受火灾威胁区域中的人员撤离，并组织人员灭火。电气设备着火时，应当首先切断其电源；在切断电源前，必须使用不导电的灭火器材进行灭火。</w:t>
      </w:r>
    </w:p>
    <w:p w14:paraId="04F3AB4A">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（4）若火势较猛无法控制，且有扩大趋势时。调度室要立即通知所有受火灾威胁的危险区域人员按照避灾路线撤至地面。</w:t>
      </w:r>
    </w:p>
    <w:p w14:paraId="58EB24D1">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（5）</w:t>
      </w:r>
      <w:r>
        <w:rPr>
          <w:rFonts w:hint="eastAsia" w:ascii="宋体" w:hAnsi="宋体" w:eastAsia="宋体" w:cs="宋体"/>
          <w:color w:val="auto"/>
          <w:spacing w:val="0"/>
          <w:sz w:val="21"/>
          <w:szCs w:val="21"/>
          <w:u w:val="none"/>
          <w:lang w:val="en-US" w:eastAsia="zh-CN"/>
        </w:rPr>
        <w:t>无法撤退时</w:t>
      </w:r>
      <w:r>
        <w:rPr>
          <w:rFonts w:hint="eastAsia" w:ascii="宋体" w:hAnsi="宋体" w:eastAsia="宋体" w:cs="宋体"/>
          <w:color w:val="auto"/>
          <w:spacing w:val="0"/>
          <w:sz w:val="21"/>
          <w:szCs w:val="21"/>
          <w:lang w:val="en-US" w:eastAsia="zh-CN"/>
        </w:rPr>
        <w:t>，应迅速进入躲避硐中（或进入临时构筑的避难硐室）等候营救。</w:t>
      </w:r>
    </w:p>
    <w:p w14:paraId="731BDB48">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8、井下发生瓦斯煤尘爆炸的现场应急避灾措施有哪些？</w:t>
      </w:r>
    </w:p>
    <w:p w14:paraId="4A87C6BD">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1）当灾害发生时，一定要镇静清醒，不要惊慌失措、乱喊乱跑。当听到或感觉到爆炸声和空气冲击波时，应立即背朝声响和气浪传来方向、俯卧倒地，面部贴在地面，闭住气，暂停呼吸，用毛巾捂住口鼻，用衣服盖住身体，减少身体暴露面积。如身旁有水，最好卧于水中，并用湿毛巾捂住口鼻或佩戴自救器，以防有害气体中毒。附近有躲避硐时，可立即进入躲避硐内以降低爆炸冲击波对人身的直接冲击。</w:t>
      </w:r>
    </w:p>
    <w:p w14:paraId="16B59B59">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（2）高温气浪和冲击波过后应立即辨别方向，保持冷静，以最短的距离进入新鲜风流中，按照避灾路线撤离。</w:t>
      </w:r>
    </w:p>
    <w:p w14:paraId="1BCC6BAA">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3）尽快判明发生爆炸的地点、影响范围、爆炸性质、危害程度等情况，并立即汇报矿调度室。设法向可能受灾变影响区域的人员发出警报通知。在爆炸地点附近人员应在老工人、班组长或瓦斯检查工的带领下，有组织地撤退。事故地点进风侧的人员，应迎着风流撤退；在事故地点回风侧的人员，应立即戴好自救器，设法通过其它通道，尽快进入进风侧或新鲜风流中，通过火烟区时不要飞跑和急促呼吸，应稳步走出危险区。</w:t>
      </w:r>
    </w:p>
    <w:p w14:paraId="23420AA0">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（4）若因巷道冒顶无法通行或在自救器有效时间（30min）内不能到达安全地带时，可利用避难硐室或在独头巷道、两风门之间等处用风筒、木板等构筑临时避难所，进行避灾。</w:t>
      </w:r>
    </w:p>
    <w:p w14:paraId="2EB7CF8F">
      <w:pPr>
        <w:keepNext w:val="0"/>
        <w:keepLines w:val="0"/>
        <w:pageBreakBefore w:val="0"/>
        <w:widowControl w:val="0"/>
        <w:kinsoku/>
        <w:wordWrap/>
        <w:overflowPunct/>
        <w:topLinePunct w:val="0"/>
        <w:autoSpaceDE w:val="0"/>
        <w:autoSpaceDN w:val="0"/>
        <w:bidi w:val="0"/>
        <w:snapToGrid/>
        <w:spacing w:line="240" w:lineRule="auto"/>
        <w:ind w:firstLine="420" w:firstLineChars="200"/>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（5）若避灾地点有压风管，应将阀门打开以提供氧气。避灾时应将衣服，矿灯等物挂于明显位置，以便于救援人员发现。注意节约矿灯用电和食品，并经常性、有规律地用敲击等方法发出呼救信号。</w:t>
      </w:r>
    </w:p>
    <w:p w14:paraId="6FE89469">
      <w:pPr>
        <w:pStyle w:val="4"/>
        <w:keepNext w:val="0"/>
        <w:keepLines w:val="0"/>
        <w:pageBreakBefore w:val="0"/>
        <w:widowControl w:val="0"/>
        <w:kinsoku/>
        <w:wordWrap/>
        <w:overflowPunct/>
        <w:topLinePunct w:val="0"/>
        <w:autoSpaceDE w:val="0"/>
        <w:autoSpaceDN w:val="0"/>
        <w:bidi w:val="0"/>
        <w:snapToGrid/>
        <w:spacing w:after="0" w:line="240" w:lineRule="auto"/>
        <w:ind w:left="0" w:leftChars="0" w:firstLine="420" w:firstLineChars="200"/>
        <w:outlineLvl w:val="0"/>
        <w:rPr>
          <w:rFonts w:hint="eastAsia" w:ascii="宋体" w:hAnsi="宋体" w:eastAsia="宋体" w:cs="宋体"/>
          <w:color w:val="auto"/>
          <w:spacing w:val="0"/>
          <w:sz w:val="21"/>
          <w:szCs w:val="21"/>
        </w:rPr>
      </w:pPr>
    </w:p>
    <w:p w14:paraId="34AA7DA3">
      <w:pPr>
        <w:keepNext w:val="0"/>
        <w:keepLines w:val="0"/>
        <w:pageBreakBefore w:val="0"/>
        <w:widowControl w:val="0"/>
        <w:kinsoku/>
        <w:wordWrap/>
        <w:overflowPunct/>
        <w:topLinePunct w:val="0"/>
        <w:autoSpaceDE w:val="0"/>
        <w:autoSpaceDN w:val="0"/>
        <w:bidi w:val="0"/>
        <w:adjustRightInd w:val="0"/>
        <w:snapToGrid/>
        <w:spacing w:line="240" w:lineRule="auto"/>
        <w:ind w:right="0" w:firstLine="420" w:firstLineChars="200"/>
        <w:jc w:val="both"/>
        <w:textAlignment w:val="baseline"/>
        <w:rPr>
          <w:rFonts w:hint="eastAsia" w:ascii="宋体" w:hAnsi="宋体" w:eastAsia="宋体" w:cs="宋体"/>
          <w:color w:val="auto"/>
          <w:spacing w:val="0"/>
          <w:sz w:val="21"/>
          <w:szCs w:val="21"/>
          <w:lang w:val="en-US" w:eastAsia="zh-CN"/>
        </w:rPr>
      </w:pPr>
    </w:p>
    <w:p w14:paraId="16B8B55C">
      <w:pPr>
        <w:keepNext w:val="0"/>
        <w:keepLines w:val="0"/>
        <w:pageBreakBefore w:val="0"/>
        <w:widowControl w:val="0"/>
        <w:kinsoku/>
        <w:wordWrap/>
        <w:overflowPunct/>
        <w:topLinePunct w:val="0"/>
        <w:autoSpaceDE w:val="0"/>
        <w:autoSpaceDN w:val="0"/>
        <w:bidi w:val="0"/>
        <w:snapToGrid/>
        <w:ind w:firstLine="420" w:firstLineChars="200"/>
        <w:rPr>
          <w:rFonts w:hint="eastAsia" w:ascii="宋体" w:hAnsi="宋体" w:eastAsia="宋体" w:cs="宋体"/>
          <w:color w:val="auto"/>
          <w:spacing w:val="0"/>
          <w:sz w:val="21"/>
          <w:szCs w:val="21"/>
        </w:rPr>
      </w:pPr>
    </w:p>
    <w:sectPr>
      <w:headerReference r:id="rId6" w:type="first"/>
      <w:footerReference r:id="rId7" w:type="default"/>
      <w:pgSz w:w="11906" w:h="16838"/>
      <w:pgMar w:top="1440" w:right="1417" w:bottom="1440"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67FCB">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B9F31B0">
                          <w:pPr>
                            <w:pStyle w:val="5"/>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zSVju0AAAAAUBAAAPAAAAAAAAAAEAIAAAACIA&#10;AABkcnMvZG93bnJldi54bWxQSwECFAAUAAAACACHTuJANFpyPtgBAACwAwAADgAAAAAAAAABACAA&#10;AAAfAQAAZHJzL2Uyb0RvYy54bWxQSwUGAAAAAAYABgBZAQAAaQUAAAAA&#10;">
              <v:fill on="f" focussize="0,0"/>
              <v:stroke on="f" weight="0.5pt"/>
              <v:imagedata o:title=""/>
              <o:lock v:ext="edit" aspectratio="f"/>
              <v:textbox inset="0mm,0mm,0mm,0mm" style="mso-fit-shape-to-text:t;">
                <w:txbxContent>
                  <w:p w14:paraId="5B9F31B0">
                    <w:pPr>
                      <w:pStyle w:val="5"/>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9687F">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0C02C01">
                          <w:pPr>
                            <w:pStyle w:val="5"/>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F9MXs9IBAACiAwAADgAAAAAAAAABACAAAAAfAQAA&#10;ZHJzL2Uyb0RvYy54bWxQSwUGAAAAAAYABgBZAQAAYwUAAAAA&#10;">
              <v:fill on="f" focussize="0,0"/>
              <v:stroke on="f" weight="0.5pt"/>
              <v:imagedata o:title=""/>
              <o:lock v:ext="edit" aspectratio="f"/>
              <v:textbox inset="0mm,0mm,0mm,0mm" style="mso-fit-shape-to-text:t;">
                <w:txbxContent>
                  <w:p w14:paraId="40C02C01">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621F9">
    <w:pPr>
      <w:spacing w:line="232" w:lineRule="auto"/>
      <w:ind w:left="29"/>
      <w:rPr>
        <w:rFonts w:ascii="宋体" w:hAnsi="宋体" w:eastAsia="宋体" w:cs="宋体"/>
        <w:sz w:val="25"/>
        <w:szCs w:val="25"/>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2A63A">
    <w:pPr>
      <w:pStyle w:val="6"/>
      <w:jc w:val="center"/>
      <w:rPr>
        <w:rFonts w:hint="default" w:eastAsia="宋体"/>
        <w:lang w:val="en-US" w:eastAsia="zh-CN"/>
      </w:rPr>
    </w:pPr>
    <w:r>
      <w:rPr>
        <w:rFonts w:hint="eastAsia"/>
        <w:lang w:val="en-US" w:eastAsia="zh-CN"/>
      </w:rPr>
      <w:t>第五届晋城职业技能大赛暨第七届职工职业技能大赛瓦斯检查工项目技术文件</w:t>
    </w:r>
  </w:p>
  <w:p w14:paraId="2FBE859B">
    <w:pPr>
      <w:pStyle w:val="6"/>
      <w:pBdr>
        <w:top w:val="none" w:color="auto" w:sz="0" w:space="0"/>
        <w:left w:val="none" w:color="auto" w:sz="0" w:space="0"/>
        <w:bottom w:val="none" w:color="auto" w:sz="0" w:space="0"/>
        <w:right w:val="none" w:color="auto" w:sz="0" w:space="0"/>
      </w:pBdr>
      <w:tabs>
        <w:tab w:val="left" w:pos="1183"/>
        <w:tab w:val="center" w:pos="4212"/>
      </w:tabs>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FA2A1">
    <w:pPr>
      <w:pStyle w:val="6"/>
      <w:tabs>
        <w:tab w:val="left" w:pos="2939"/>
        <w:tab w:val="right" w:pos="9192"/>
      </w:tabs>
      <w:jc w:val="center"/>
      <w:rPr>
        <w:rFonts w:hint="default" w:eastAsia="宋体"/>
        <w:lang w:val="en-US" w:eastAsia="zh-CN"/>
      </w:rPr>
    </w:pPr>
    <w:r>
      <w:rPr>
        <w:rFonts w:hint="eastAsia"/>
        <w:lang w:val="en-US" w:eastAsia="zh-CN"/>
      </w:rPr>
      <w:t>第五届晋城职业技能大赛暨第七届职工职业技能大赛瓦斯检查工项目技术文件</w:t>
    </w:r>
  </w:p>
  <w:p w14:paraId="062A73B5">
    <w:pPr>
      <w:pStyle w:val="6"/>
      <w:pBdr>
        <w:top w:val="none" w:color="auto" w:sz="0" w:space="0"/>
        <w:left w:val="none" w:color="auto" w:sz="0" w:space="0"/>
        <w:bottom w:val="none" w:color="auto" w:sz="0" w:space="0"/>
        <w:right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8AC5CF"/>
    <w:multiLevelType w:val="singleLevel"/>
    <w:tmpl w:val="998AC5CF"/>
    <w:lvl w:ilvl="0" w:tentative="0">
      <w:start w:val="1"/>
      <w:numFmt w:val="decimal"/>
      <w:lvlText w:val="(%1)"/>
      <w:lvlJc w:val="left"/>
      <w:pPr>
        <w:ind w:left="425" w:hanging="425"/>
      </w:pPr>
      <w:rPr>
        <w:rFonts w:hint="default"/>
      </w:rPr>
    </w:lvl>
  </w:abstractNum>
  <w:abstractNum w:abstractNumId="1">
    <w:nsid w:val="9A9EA1BB"/>
    <w:multiLevelType w:val="singleLevel"/>
    <w:tmpl w:val="9A9EA1BB"/>
    <w:lvl w:ilvl="0" w:tentative="0">
      <w:start w:val="1"/>
      <w:numFmt w:val="chineseCounting"/>
      <w:suff w:val="nothing"/>
      <w:lvlText w:val="（%1）"/>
      <w:lvlJc w:val="left"/>
      <w:rPr>
        <w:rFonts w:hint="eastAsia"/>
      </w:rPr>
    </w:lvl>
  </w:abstractNum>
  <w:abstractNum w:abstractNumId="2">
    <w:nsid w:val="B1C191B4"/>
    <w:multiLevelType w:val="singleLevel"/>
    <w:tmpl w:val="B1C191B4"/>
    <w:lvl w:ilvl="0" w:tentative="0">
      <w:start w:val="2"/>
      <w:numFmt w:val="chineseCounting"/>
      <w:suff w:val="space"/>
      <w:lvlText w:val="%1、"/>
      <w:lvlJc w:val="left"/>
      <w:rPr>
        <w:rFonts w:hint="eastAsia"/>
      </w:rPr>
    </w:lvl>
  </w:abstractNum>
  <w:abstractNum w:abstractNumId="3">
    <w:nsid w:val="D0A61DC9"/>
    <w:multiLevelType w:val="singleLevel"/>
    <w:tmpl w:val="D0A61DC9"/>
    <w:lvl w:ilvl="0" w:tentative="0">
      <w:start w:val="1"/>
      <w:numFmt w:val="decimalEnclosedCircleChinese"/>
      <w:suff w:val="nothing"/>
      <w:lvlText w:val="%1　"/>
      <w:lvlJc w:val="left"/>
      <w:pPr>
        <w:ind w:left="0" w:firstLine="400"/>
      </w:pPr>
      <w:rPr>
        <w:rFonts w:hint="eastAsia"/>
      </w:rPr>
    </w:lvl>
  </w:abstractNum>
  <w:abstractNum w:abstractNumId="4">
    <w:nsid w:val="EE50BFF5"/>
    <w:multiLevelType w:val="singleLevel"/>
    <w:tmpl w:val="EE50BFF5"/>
    <w:lvl w:ilvl="0" w:tentative="0">
      <w:start w:val="1"/>
      <w:numFmt w:val="decimal"/>
      <w:suff w:val="space"/>
      <w:lvlText w:val="(%1)"/>
      <w:lvlJc w:val="left"/>
      <w:pPr>
        <w:ind w:left="453" w:leftChars="0" w:firstLine="0" w:firstLineChars="0"/>
      </w:pPr>
    </w:lvl>
  </w:abstractNum>
  <w:abstractNum w:abstractNumId="5">
    <w:nsid w:val="1FD9F70F"/>
    <w:multiLevelType w:val="singleLevel"/>
    <w:tmpl w:val="1FD9F70F"/>
    <w:lvl w:ilvl="0" w:tentative="0">
      <w:start w:val="2"/>
      <w:numFmt w:val="chineseCounting"/>
      <w:suff w:val="nothing"/>
      <w:lvlText w:val="（%1）"/>
      <w:lvlJc w:val="left"/>
      <w:rPr>
        <w:rFonts w:hint="eastAsia"/>
      </w:rPr>
    </w:lvl>
  </w:abstractNum>
  <w:abstractNum w:abstractNumId="6">
    <w:nsid w:val="5CC7D359"/>
    <w:multiLevelType w:val="singleLevel"/>
    <w:tmpl w:val="5CC7D359"/>
    <w:lvl w:ilvl="0" w:tentative="0">
      <w:start w:val="1"/>
      <w:numFmt w:val="decimal"/>
      <w:lvlText w:val="(%1)"/>
      <w:lvlJc w:val="left"/>
      <w:pPr>
        <w:ind w:left="425" w:hanging="425"/>
      </w:pPr>
      <w:rPr>
        <w:rFonts w:hint="default"/>
      </w:rPr>
    </w:lvl>
  </w:abstractNum>
  <w:abstractNum w:abstractNumId="7">
    <w:nsid w:val="6263E423"/>
    <w:multiLevelType w:val="singleLevel"/>
    <w:tmpl w:val="6263E423"/>
    <w:lvl w:ilvl="0" w:tentative="0">
      <w:start w:val="1"/>
      <w:numFmt w:val="decimal"/>
      <w:suff w:val="nothing"/>
      <w:lvlText w:val="（%1）"/>
      <w:lvlJc w:val="left"/>
    </w:lvl>
  </w:abstractNum>
  <w:num w:numId="1">
    <w:abstractNumId w:val="0"/>
  </w:num>
  <w:num w:numId="2">
    <w:abstractNumId w:val="6"/>
  </w:num>
  <w:num w:numId="3">
    <w:abstractNumId w:val="2"/>
  </w:num>
  <w:num w:numId="4">
    <w:abstractNumId w:val="1"/>
  </w:num>
  <w:num w:numId="5">
    <w:abstractNumId w:val="4"/>
  </w:num>
  <w:num w:numId="6">
    <w:abstractNumId w:val="3"/>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92C94"/>
    <w:rsid w:val="0D054058"/>
    <w:rsid w:val="0D2941EA"/>
    <w:rsid w:val="12211934"/>
    <w:rsid w:val="137455F6"/>
    <w:rsid w:val="137A57A0"/>
    <w:rsid w:val="14AA11A7"/>
    <w:rsid w:val="150115A9"/>
    <w:rsid w:val="162E461F"/>
    <w:rsid w:val="196D1903"/>
    <w:rsid w:val="1B334486"/>
    <w:rsid w:val="1CF10155"/>
    <w:rsid w:val="1F3F33F9"/>
    <w:rsid w:val="23BA5744"/>
    <w:rsid w:val="27275CD8"/>
    <w:rsid w:val="2EAB2859"/>
    <w:rsid w:val="34A75871"/>
    <w:rsid w:val="3A80103E"/>
    <w:rsid w:val="3BFC00B1"/>
    <w:rsid w:val="3C0D6528"/>
    <w:rsid w:val="3DDF1667"/>
    <w:rsid w:val="3E287A22"/>
    <w:rsid w:val="3F9B5FD2"/>
    <w:rsid w:val="419727BA"/>
    <w:rsid w:val="426C1EA8"/>
    <w:rsid w:val="51D35A9F"/>
    <w:rsid w:val="529F4C9C"/>
    <w:rsid w:val="536F5890"/>
    <w:rsid w:val="586456A3"/>
    <w:rsid w:val="5AEA33C0"/>
    <w:rsid w:val="66CD2666"/>
    <w:rsid w:val="67580AC9"/>
    <w:rsid w:val="69196036"/>
    <w:rsid w:val="6BA51E03"/>
    <w:rsid w:val="6E7855AD"/>
    <w:rsid w:val="6F233840"/>
    <w:rsid w:val="6F451933"/>
    <w:rsid w:val="6FF33A75"/>
    <w:rsid w:val="74C432FA"/>
    <w:rsid w:val="75DB69E8"/>
    <w:rsid w:val="77F008AA"/>
    <w:rsid w:val="7B803D64"/>
    <w:rsid w:val="7BCC0CE6"/>
    <w:rsid w:val="7D8E0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qFormat="1" w:unhideWhenUsed="0" w:uiPriority="99" w:semiHidden="0" w:name="toc 2"/>
    <w:lsdException w:qFormat="1" w:uiPriority="39"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ind w:left="1960"/>
    </w:pPr>
    <w:rPr>
      <w:rFonts w:ascii="PMingLiU" w:hAnsi="PMingLiU" w:eastAsia="PMingLiU" w:cs="PMingLiU"/>
      <w:sz w:val="42"/>
      <w:szCs w:val="42"/>
      <w:lang w:val="zh-CN"/>
    </w:rPr>
  </w:style>
  <w:style w:type="paragraph" w:styleId="3">
    <w:name w:val="toc 3"/>
    <w:basedOn w:val="1"/>
    <w:next w:val="1"/>
    <w:semiHidden/>
    <w:unhideWhenUsed/>
    <w:qFormat/>
    <w:uiPriority w:val="39"/>
    <w:pPr>
      <w:ind w:left="840" w:leftChars="400"/>
    </w:pPr>
  </w:style>
  <w:style w:type="paragraph" w:styleId="4">
    <w:name w:val="Body Text Indent 2"/>
    <w:basedOn w:val="1"/>
    <w:qFormat/>
    <w:uiPriority w:val="99"/>
    <w:pPr>
      <w:spacing w:after="120" w:line="480" w:lineRule="auto"/>
      <w:ind w:left="420" w:leftChars="200"/>
    </w:pPr>
  </w:style>
  <w:style w:type="paragraph" w:styleId="5">
    <w:name w:val="footer"/>
    <w:basedOn w:val="1"/>
    <w:qFormat/>
    <w:uiPriority w:val="99"/>
    <w:pPr>
      <w:tabs>
        <w:tab w:val="center" w:pos="4153"/>
        <w:tab w:val="right" w:pos="8306"/>
      </w:tabs>
      <w:snapToGrid w:val="0"/>
      <w:jc w:val="left"/>
    </w:pPr>
    <w:rPr>
      <w:sz w:val="18"/>
    </w:rPr>
  </w:style>
  <w:style w:type="paragraph" w:styleId="6">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99"/>
    <w:rPr>
      <w:b/>
    </w:rPr>
  </w:style>
  <w:style w:type="paragraph" w:styleId="8">
    <w:name w:val="toc 4"/>
    <w:next w:val="1"/>
    <w:qFormat/>
    <w:uiPriority w:val="0"/>
    <w:pPr>
      <w:wordWrap w:val="0"/>
      <w:ind w:left="850"/>
      <w:jc w:val="both"/>
    </w:pPr>
    <w:rPr>
      <w:rFonts w:ascii="Times New Roman" w:hAnsi="Times New Roman" w:eastAsia="宋体" w:cs="Times New Roman"/>
      <w:sz w:val="21"/>
      <w:lang w:val="en-US" w:eastAsia="zh-CN" w:bidi="ar-SA"/>
    </w:rPr>
  </w:style>
  <w:style w:type="paragraph" w:styleId="9">
    <w:name w:val="toc 2"/>
    <w:basedOn w:val="1"/>
    <w:next w:val="1"/>
    <w:qFormat/>
    <w:uiPriority w:val="99"/>
    <w:pPr>
      <w:ind w:left="420" w:leftChars="200"/>
    </w:pPr>
  </w:style>
  <w:style w:type="paragraph" w:styleId="10">
    <w:name w:val="Body Text First Indent"/>
    <w:basedOn w:val="2"/>
    <w:qFormat/>
    <w:uiPriority w:val="99"/>
    <w:pPr>
      <w:ind w:firstLine="420" w:firstLineChars="100"/>
    </w:pPr>
  </w:style>
  <w:style w:type="paragraph" w:customStyle="1" w:styleId="13">
    <w:name w:val="_Style 3"/>
    <w:qFormat/>
    <w:uiPriority w:val="0"/>
    <w:pPr>
      <w:widowControl w:val="0"/>
      <w:jc w:val="both"/>
    </w:pPr>
    <w:rPr>
      <w:rFonts w:ascii="Calibri" w:hAnsi="Calibri" w:eastAsia="宋体" w:cs="Times New Roman"/>
      <w:kern w:val="2"/>
      <w:sz w:val="21"/>
      <w:szCs w:val="22"/>
      <w:lang w:val="en-US" w:eastAsia="zh-CN" w:bidi="ar-SA"/>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Table Text"/>
    <w:basedOn w:val="1"/>
    <w:semiHidden/>
    <w:qFormat/>
    <w:uiPriority w:val="0"/>
    <w:rPr>
      <w:rFonts w:ascii="Arial" w:hAnsi="Arial" w:eastAsia="Arial" w:cs="Arial"/>
      <w:sz w:val="21"/>
      <w:szCs w:val="21"/>
      <w:lang w:val="en-US" w:eastAsia="en-US" w:bidi="ar-SA"/>
    </w:rPr>
  </w:style>
  <w:style w:type="paragraph" w:customStyle="1" w:styleId="16">
    <w:name w:val="页脚1"/>
    <w:basedOn w:val="1"/>
    <w:qFormat/>
    <w:uiPriority w:val="0"/>
    <w:pPr>
      <w:widowControl/>
      <w:wordWrap w:val="0"/>
      <w:autoSpaceDE/>
      <w:autoSpaceDN/>
      <w:spacing w:before="0" w:after="0" w:line="240" w:lineRule="auto"/>
      <w:ind w:left="0" w:firstLine="0"/>
    </w:pPr>
    <w:rPr>
      <w:sz w:val="18"/>
    </w:rPr>
  </w:style>
  <w:style w:type="paragraph" w:customStyle="1" w:styleId="17">
    <w:name w:val="列表段落"/>
    <w:basedOn w:val="1"/>
    <w:qFormat/>
    <w:uiPriority w:val="0"/>
    <w:pPr>
      <w:wordWrap w:val="0"/>
      <w:ind w:left="850"/>
      <w:jc w:val="both"/>
    </w:pPr>
    <w:rPr>
      <w:sz w:val="21"/>
      <w:lang w:val="en-US" w:eastAsia="zh-CN" w:bidi="ar-SA"/>
    </w:rPr>
  </w:style>
  <w:style w:type="paragraph" w:customStyle="1" w:styleId="18">
    <w:name w:val="目录 411"/>
    <w:qFormat/>
    <w:uiPriority w:val="0"/>
    <w:pPr>
      <w:wordWrap w:val="0"/>
      <w:ind w:left="850"/>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11743</Words>
  <Characters>14533</Characters>
  <Lines>0</Lines>
  <Paragraphs>0</Paragraphs>
  <TotalTime>122</TotalTime>
  <ScaleCrop>false</ScaleCrop>
  <LinksUpToDate>false</LinksUpToDate>
  <CharactersWithSpaces>14654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2025-07-18T01:53:00Z</dcterms:created>
  <dc:creator>Administrator</dc:creator>
  <cp:lastModifiedBy>Nike、</cp:lastModifiedBy>
  <dcterms:modified xsi:type="dcterms:W3CDTF">2025-07-23T03:02:30Z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eyJoZGlkIjoiNTRlM2U4ZmM3ZmQzYjgwYmE4MTYxYWYxZjEzOTVhMGEiLCJ1c2VySWQiOiIyNjI1NzE2ODkifQ==</vt:lpwstr>
  </property>
  <property fmtid="{D5CDD505-2E9C-101B-9397-08002B2CF9AE}" pid="4" name="ICV">
    <vt:lpwstr>9FAC56F122F845ECABD0E2A49FCA2F5F_13</vt:lpwstr>
  </property>
</Properties>
</file>